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D67531" w14:textId="0973386C" w:rsidR="006B107E" w:rsidRPr="00FB1858" w:rsidRDefault="006B107E" w:rsidP="00FB1858">
      <w:pPr>
        <w:pStyle w:val="NormalWeb"/>
        <w:shd w:val="clear" w:color="auto" w:fill="FFFFFF"/>
        <w:spacing w:before="0" w:beforeAutospacing="0" w:after="0" w:afterAutospacing="0" w:line="480" w:lineRule="auto"/>
        <w:jc w:val="left"/>
        <w:rPr>
          <w:b/>
          <w:color w:val="000000" w:themeColor="text1"/>
          <w:sz w:val="20"/>
          <w:szCs w:val="20"/>
        </w:rPr>
      </w:pPr>
      <w:r w:rsidRPr="00FB1858">
        <w:rPr>
          <w:b/>
          <w:color w:val="000000" w:themeColor="text1"/>
          <w:sz w:val="20"/>
          <w:szCs w:val="20"/>
        </w:rPr>
        <w:t>SUPPLEMENTA</w:t>
      </w:r>
      <w:r w:rsidR="00C1051D" w:rsidRPr="00A34C21">
        <w:rPr>
          <w:b/>
          <w:color w:val="000000" w:themeColor="text1"/>
          <w:sz w:val="20"/>
          <w:szCs w:val="20"/>
        </w:rPr>
        <w:t>RY</w:t>
      </w:r>
      <w:r w:rsidRPr="00FB1858">
        <w:rPr>
          <w:b/>
          <w:color w:val="000000" w:themeColor="text1"/>
          <w:sz w:val="20"/>
          <w:szCs w:val="20"/>
        </w:rPr>
        <w:t xml:space="preserve"> METHODS</w:t>
      </w:r>
    </w:p>
    <w:p w14:paraId="29C600D8" w14:textId="77777777" w:rsidR="006B107E" w:rsidRPr="00FB1858" w:rsidRDefault="006B107E" w:rsidP="00FB1858">
      <w:pPr>
        <w:pStyle w:val="NormalWeb"/>
        <w:shd w:val="clear" w:color="auto" w:fill="FFFFFF"/>
        <w:spacing w:before="0" w:beforeAutospacing="0" w:after="0" w:afterAutospacing="0" w:line="480" w:lineRule="auto"/>
        <w:jc w:val="left"/>
        <w:rPr>
          <w:b/>
          <w:color w:val="000000" w:themeColor="text1"/>
          <w:sz w:val="20"/>
          <w:szCs w:val="20"/>
        </w:rPr>
      </w:pPr>
    </w:p>
    <w:p w14:paraId="31F83F28" w14:textId="5682712D" w:rsidR="00FE6F4B" w:rsidRPr="00FB1858" w:rsidRDefault="00FE6F4B" w:rsidP="00FB1858">
      <w:pPr>
        <w:pStyle w:val="NormalWeb"/>
        <w:shd w:val="clear" w:color="auto" w:fill="FFFFFF"/>
        <w:spacing w:before="0" w:beforeAutospacing="0" w:after="0" w:afterAutospacing="0" w:line="480" w:lineRule="auto"/>
        <w:jc w:val="left"/>
        <w:rPr>
          <w:b/>
          <w:color w:val="000000" w:themeColor="text1"/>
          <w:sz w:val="20"/>
          <w:szCs w:val="20"/>
        </w:rPr>
      </w:pPr>
      <w:r w:rsidRPr="00FB1858">
        <w:rPr>
          <w:b/>
          <w:color w:val="000000" w:themeColor="text1"/>
          <w:sz w:val="20"/>
          <w:szCs w:val="20"/>
        </w:rPr>
        <w:t xml:space="preserve">Inclusion of </w:t>
      </w:r>
      <w:r w:rsidR="00C1051D" w:rsidRPr="00A34C21">
        <w:rPr>
          <w:b/>
          <w:color w:val="000000" w:themeColor="text1"/>
          <w:sz w:val="20"/>
          <w:szCs w:val="20"/>
        </w:rPr>
        <w:t xml:space="preserve">non-inferiority analysis in superiority-based clinical trials with single-arm, two-stage </w:t>
      </w:r>
      <w:r w:rsidRPr="00FB1858">
        <w:rPr>
          <w:b/>
          <w:color w:val="000000" w:themeColor="text1"/>
          <w:sz w:val="20"/>
          <w:szCs w:val="20"/>
        </w:rPr>
        <w:t xml:space="preserve">Simon’s </w:t>
      </w:r>
      <w:r w:rsidR="00C1051D" w:rsidRPr="00A34C21">
        <w:rPr>
          <w:b/>
          <w:color w:val="000000" w:themeColor="text1"/>
          <w:sz w:val="20"/>
          <w:szCs w:val="20"/>
        </w:rPr>
        <w:t>design</w:t>
      </w:r>
    </w:p>
    <w:p w14:paraId="1B9BBD8C" w14:textId="77777777" w:rsidR="00FE6F4B" w:rsidRPr="00FB1858" w:rsidRDefault="00FE6F4B" w:rsidP="00FB1858">
      <w:pPr>
        <w:pStyle w:val="NormalWeb"/>
        <w:shd w:val="clear" w:color="auto" w:fill="FFFFFF"/>
        <w:spacing w:before="0" w:beforeAutospacing="0" w:after="0" w:afterAutospacing="0" w:line="480" w:lineRule="auto"/>
        <w:jc w:val="left"/>
        <w:outlineLvl w:val="0"/>
        <w:rPr>
          <w:b/>
          <w:caps/>
          <w:color w:val="000000" w:themeColor="text1"/>
          <w:sz w:val="20"/>
          <w:szCs w:val="20"/>
        </w:rPr>
      </w:pPr>
    </w:p>
    <w:p w14:paraId="1CDFBB3D" w14:textId="58B7C20C" w:rsidR="006B107E" w:rsidRPr="00FB1858" w:rsidRDefault="006B107E" w:rsidP="00FB1858">
      <w:pPr>
        <w:pStyle w:val="NormalWeb"/>
        <w:shd w:val="clear" w:color="auto" w:fill="FFFFFF"/>
        <w:spacing w:before="0" w:beforeAutospacing="0" w:after="0" w:afterAutospacing="0" w:line="480" w:lineRule="auto"/>
        <w:jc w:val="left"/>
        <w:rPr>
          <w:color w:val="000000" w:themeColor="text1"/>
          <w:sz w:val="20"/>
          <w:szCs w:val="20"/>
        </w:rPr>
      </w:pPr>
      <w:r w:rsidRPr="00FB1858">
        <w:rPr>
          <w:color w:val="000000" w:themeColor="text1"/>
          <w:sz w:val="20"/>
          <w:szCs w:val="20"/>
        </w:rPr>
        <w:t xml:space="preserve">Miguel Sampayo-Cordero, </w:t>
      </w:r>
      <w:proofErr w:type="spellStart"/>
      <w:r w:rsidRPr="00FB1858">
        <w:rPr>
          <w:color w:val="000000" w:themeColor="text1"/>
          <w:sz w:val="20"/>
          <w:szCs w:val="20"/>
        </w:rPr>
        <w:t>Bernat</w:t>
      </w:r>
      <w:proofErr w:type="spellEnd"/>
      <w:r w:rsidRPr="00FB1858">
        <w:rPr>
          <w:color w:val="000000" w:themeColor="text1"/>
          <w:sz w:val="20"/>
          <w:szCs w:val="20"/>
        </w:rPr>
        <w:t xml:space="preserve"> Miguel-</w:t>
      </w:r>
      <w:proofErr w:type="spellStart"/>
      <w:r w:rsidRPr="00FB1858">
        <w:rPr>
          <w:color w:val="000000" w:themeColor="text1"/>
          <w:sz w:val="20"/>
          <w:szCs w:val="20"/>
        </w:rPr>
        <w:t>Huguet</w:t>
      </w:r>
      <w:proofErr w:type="spellEnd"/>
      <w:r w:rsidRPr="00FB1858">
        <w:rPr>
          <w:color w:val="000000" w:themeColor="text1"/>
          <w:sz w:val="20"/>
          <w:szCs w:val="20"/>
        </w:rPr>
        <w:t xml:space="preserve">, José Pérez-García, David </w:t>
      </w:r>
      <w:proofErr w:type="spellStart"/>
      <w:r w:rsidRPr="00FB1858">
        <w:rPr>
          <w:color w:val="000000" w:themeColor="text1"/>
          <w:sz w:val="20"/>
          <w:szCs w:val="20"/>
        </w:rPr>
        <w:t>Páez</w:t>
      </w:r>
      <w:proofErr w:type="spellEnd"/>
      <w:r w:rsidRPr="00FB1858">
        <w:rPr>
          <w:color w:val="000000" w:themeColor="text1"/>
          <w:sz w:val="20"/>
          <w:szCs w:val="20"/>
        </w:rPr>
        <w:t>, Angel L. Guerrero-</w:t>
      </w:r>
      <w:proofErr w:type="spellStart"/>
      <w:r w:rsidRPr="00FB1858">
        <w:rPr>
          <w:color w:val="000000" w:themeColor="text1"/>
          <w:sz w:val="20"/>
          <w:szCs w:val="20"/>
        </w:rPr>
        <w:t>Zotano</w:t>
      </w:r>
      <w:proofErr w:type="spellEnd"/>
      <w:r w:rsidRPr="00FB1858">
        <w:rPr>
          <w:color w:val="000000" w:themeColor="text1"/>
          <w:sz w:val="20"/>
          <w:szCs w:val="20"/>
        </w:rPr>
        <w:t xml:space="preserve">, Javier Garde </w:t>
      </w:r>
      <w:proofErr w:type="spellStart"/>
      <w:r w:rsidRPr="00FB1858">
        <w:rPr>
          <w:color w:val="000000" w:themeColor="text1"/>
          <w:sz w:val="20"/>
          <w:szCs w:val="20"/>
        </w:rPr>
        <w:t>Noguera</w:t>
      </w:r>
      <w:proofErr w:type="spellEnd"/>
      <w:r w:rsidRPr="00FB1858">
        <w:rPr>
          <w:color w:val="000000" w:themeColor="text1"/>
          <w:sz w:val="20"/>
          <w:szCs w:val="20"/>
        </w:rPr>
        <w:t xml:space="preserve">, Elena Aguirre, Esther </w:t>
      </w:r>
      <w:proofErr w:type="spellStart"/>
      <w:r w:rsidRPr="00FB1858">
        <w:rPr>
          <w:color w:val="000000" w:themeColor="text1"/>
          <w:sz w:val="20"/>
          <w:szCs w:val="20"/>
        </w:rPr>
        <w:t>Holgado</w:t>
      </w:r>
      <w:proofErr w:type="spellEnd"/>
      <w:r w:rsidRPr="00FB1858">
        <w:rPr>
          <w:color w:val="000000" w:themeColor="text1"/>
          <w:sz w:val="20"/>
          <w:szCs w:val="20"/>
        </w:rPr>
        <w:t xml:space="preserve">, Elena López-Miranda, Xin Huang, </w:t>
      </w:r>
      <w:r w:rsidR="006B00B7" w:rsidRPr="00FB1858">
        <w:rPr>
          <w:color w:val="000000" w:themeColor="text1"/>
          <w:sz w:val="20"/>
          <w:szCs w:val="20"/>
        </w:rPr>
        <w:t xml:space="preserve">Antonio </w:t>
      </w:r>
      <w:proofErr w:type="spellStart"/>
      <w:r w:rsidR="006B00B7" w:rsidRPr="00FB1858">
        <w:rPr>
          <w:color w:val="000000" w:themeColor="text1"/>
          <w:sz w:val="20"/>
          <w:szCs w:val="20"/>
        </w:rPr>
        <w:t>Llombart</w:t>
      </w:r>
      <w:r w:rsidR="00C1051D" w:rsidRPr="00A34C21">
        <w:rPr>
          <w:color w:val="000000" w:themeColor="text1"/>
          <w:sz w:val="20"/>
          <w:szCs w:val="20"/>
        </w:rPr>
        <w:t>-Cussac</w:t>
      </w:r>
      <w:proofErr w:type="spellEnd"/>
      <w:r w:rsidR="006B00B7" w:rsidRPr="00FB1858">
        <w:rPr>
          <w:color w:val="000000" w:themeColor="text1"/>
          <w:sz w:val="20"/>
          <w:szCs w:val="20"/>
        </w:rPr>
        <w:t xml:space="preserve">, Andrea </w:t>
      </w:r>
      <w:proofErr w:type="spellStart"/>
      <w:r w:rsidR="006B00B7" w:rsidRPr="00FB1858">
        <w:rPr>
          <w:color w:val="000000" w:themeColor="text1"/>
          <w:sz w:val="20"/>
          <w:szCs w:val="20"/>
        </w:rPr>
        <w:t>Malfettone</w:t>
      </w:r>
      <w:proofErr w:type="spellEnd"/>
      <w:r w:rsidR="006B00B7" w:rsidRPr="00FB1858">
        <w:rPr>
          <w:color w:val="000000" w:themeColor="text1"/>
          <w:sz w:val="20"/>
          <w:szCs w:val="20"/>
        </w:rPr>
        <w:t xml:space="preserve">, </w:t>
      </w:r>
      <w:r w:rsidRPr="00FB1858">
        <w:rPr>
          <w:color w:val="000000" w:themeColor="text1"/>
          <w:sz w:val="20"/>
          <w:szCs w:val="20"/>
        </w:rPr>
        <w:t>Javier Cortés</w:t>
      </w:r>
    </w:p>
    <w:p w14:paraId="6BDB4387" w14:textId="77777777" w:rsidR="00FE6F4B" w:rsidRPr="00FB1858" w:rsidRDefault="00FE6F4B" w:rsidP="00A34C21">
      <w:pPr>
        <w:spacing w:line="480" w:lineRule="auto"/>
        <w:rPr>
          <w:b/>
          <w:color w:val="000000" w:themeColor="text1"/>
          <w:sz w:val="20"/>
          <w:szCs w:val="20"/>
        </w:rPr>
      </w:pPr>
    </w:p>
    <w:p w14:paraId="55BA7D44" w14:textId="30773C98" w:rsidR="00FE6F4B" w:rsidRDefault="00FE6F4B" w:rsidP="00FB1858">
      <w:pPr>
        <w:spacing w:line="480" w:lineRule="auto"/>
        <w:outlineLvl w:val="0"/>
        <w:rPr>
          <w:color w:val="000000" w:themeColor="text1"/>
          <w:sz w:val="20"/>
          <w:szCs w:val="20"/>
        </w:rPr>
      </w:pPr>
      <w:r w:rsidRPr="00FB1858">
        <w:rPr>
          <w:b/>
          <w:color w:val="000000" w:themeColor="text1"/>
          <w:sz w:val="20"/>
          <w:szCs w:val="20"/>
        </w:rPr>
        <w:t xml:space="preserve">List of abbreviations: </w:t>
      </w:r>
      <w:r w:rsidRPr="00FB1858">
        <w:rPr>
          <w:color w:val="000000" w:themeColor="text1"/>
          <w:sz w:val="20"/>
          <w:szCs w:val="20"/>
        </w:rPr>
        <w:t>CI: confidence interval; NI: non-inferiority; NIM: non-inferiority margin; RR: response rate; UMVUE: Uniformly Minimum Variance Unbiased Estimator.</w:t>
      </w:r>
    </w:p>
    <w:p w14:paraId="6E6470D8" w14:textId="153BDEE4" w:rsidR="00FE6F4B" w:rsidRPr="00FB1858" w:rsidRDefault="00FE6F4B">
      <w:pPr>
        <w:spacing w:line="480" w:lineRule="auto"/>
        <w:rPr>
          <w:b/>
          <w:color w:val="000000" w:themeColor="text1"/>
          <w:sz w:val="20"/>
          <w:szCs w:val="20"/>
        </w:rPr>
      </w:pPr>
    </w:p>
    <w:p w14:paraId="2A921094" w14:textId="234A8EA1" w:rsidR="002F06E6" w:rsidRPr="00FB1858" w:rsidRDefault="002F06E6" w:rsidP="00FB1858">
      <w:pPr>
        <w:pStyle w:val="NormalWeb"/>
        <w:numPr>
          <w:ilvl w:val="0"/>
          <w:numId w:val="7"/>
        </w:numPr>
        <w:shd w:val="clear" w:color="auto" w:fill="FFFFFF"/>
        <w:spacing w:before="0" w:beforeAutospacing="0" w:after="0" w:afterAutospacing="0" w:line="480" w:lineRule="auto"/>
        <w:jc w:val="left"/>
        <w:outlineLvl w:val="0"/>
        <w:rPr>
          <w:b/>
          <w:color w:val="000000" w:themeColor="text1"/>
          <w:sz w:val="20"/>
          <w:szCs w:val="20"/>
        </w:rPr>
      </w:pPr>
      <w:r w:rsidRPr="00FB1858">
        <w:rPr>
          <w:b/>
          <w:color w:val="000000" w:themeColor="text1"/>
          <w:sz w:val="20"/>
          <w:szCs w:val="20"/>
        </w:rPr>
        <w:t>One-stage design with binary outcomes</w:t>
      </w:r>
    </w:p>
    <w:p w14:paraId="4092CACB" w14:textId="77777777" w:rsidR="002F06E6" w:rsidRPr="00FB1858" w:rsidRDefault="002F06E6" w:rsidP="00FB1858">
      <w:pPr>
        <w:spacing w:line="480" w:lineRule="auto"/>
        <w:rPr>
          <w:color w:val="000000" w:themeColor="text1"/>
          <w:sz w:val="20"/>
          <w:szCs w:val="20"/>
        </w:rPr>
      </w:pPr>
      <w:r w:rsidRPr="00FB1858">
        <w:rPr>
          <w:color w:val="000000" w:themeColor="text1"/>
          <w:sz w:val="20"/>
          <w:szCs w:val="20"/>
        </w:rPr>
        <w:t>The hypotheses of a superiority analysis about the true response rate (RR) (p) for a single arm design are:</w:t>
      </w:r>
    </w:p>
    <w:p w14:paraId="5A7A9D18" w14:textId="13DB2B61" w:rsidR="002F06E6" w:rsidRPr="00FB1858" w:rsidRDefault="002F06E6" w:rsidP="00FB1858">
      <w:pPr>
        <w:spacing w:line="480" w:lineRule="auto"/>
        <w:ind w:firstLine="284"/>
        <w:textAlignment w:val="center"/>
        <w:rPr>
          <w:color w:val="000000" w:themeColor="text1"/>
          <w:sz w:val="20"/>
          <w:szCs w:val="20"/>
        </w:rPr>
      </w:pPr>
      <w:r w:rsidRPr="00FB1858">
        <w:rPr>
          <w:color w:val="000000" w:themeColor="text1"/>
          <w:sz w:val="20"/>
          <w:szCs w:val="20"/>
        </w:rPr>
        <w:t>H</w:t>
      </w:r>
      <w:r w:rsidRPr="00FB1858">
        <w:rPr>
          <w:color w:val="000000" w:themeColor="text1"/>
          <w:sz w:val="20"/>
          <w:szCs w:val="20"/>
          <w:vertAlign w:val="subscript"/>
        </w:rPr>
        <w:t>0</w:t>
      </w:r>
      <w:r w:rsidRPr="00FB1858">
        <w:rPr>
          <w:color w:val="000000" w:themeColor="text1"/>
          <w:sz w:val="20"/>
          <w:szCs w:val="20"/>
        </w:rPr>
        <w:t>: p ≤ p</w:t>
      </w:r>
      <w:r w:rsidRPr="00FB1858">
        <w:rPr>
          <w:color w:val="000000" w:themeColor="text1"/>
          <w:sz w:val="20"/>
          <w:szCs w:val="20"/>
          <w:vertAlign w:val="subscript"/>
        </w:rPr>
        <w:t>0</w:t>
      </w:r>
      <w:r w:rsidRPr="00FB1858">
        <w:rPr>
          <w:color w:val="000000" w:themeColor="text1"/>
          <w:sz w:val="20"/>
          <w:szCs w:val="20"/>
        </w:rPr>
        <w:t>,</w:t>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t>(1)</w:t>
      </w:r>
    </w:p>
    <w:p w14:paraId="2CE98945" w14:textId="7DB743F4" w:rsidR="002F06E6" w:rsidRPr="00FB1858" w:rsidRDefault="002F06E6" w:rsidP="00FB1858">
      <w:pPr>
        <w:spacing w:line="480" w:lineRule="auto"/>
        <w:ind w:firstLine="284"/>
        <w:textAlignment w:val="center"/>
        <w:rPr>
          <w:color w:val="000000" w:themeColor="text1"/>
          <w:sz w:val="20"/>
          <w:szCs w:val="20"/>
        </w:rPr>
      </w:pPr>
      <w:r w:rsidRPr="00FB1858">
        <w:rPr>
          <w:color w:val="000000" w:themeColor="text1"/>
          <w:sz w:val="20"/>
          <w:szCs w:val="20"/>
        </w:rPr>
        <w:t>H</w:t>
      </w:r>
      <w:r w:rsidRPr="00FB1858">
        <w:rPr>
          <w:color w:val="000000" w:themeColor="text1"/>
          <w:sz w:val="20"/>
          <w:szCs w:val="20"/>
          <w:vertAlign w:val="subscript"/>
        </w:rPr>
        <w:t>1</w:t>
      </w:r>
      <w:r w:rsidRPr="00FB1858">
        <w:rPr>
          <w:color w:val="000000" w:themeColor="text1"/>
          <w:sz w:val="20"/>
          <w:szCs w:val="20"/>
        </w:rPr>
        <w:t>: p ≥ p</w:t>
      </w:r>
      <w:r w:rsidRPr="00FB1858">
        <w:rPr>
          <w:color w:val="000000" w:themeColor="text1"/>
          <w:sz w:val="20"/>
          <w:szCs w:val="20"/>
          <w:vertAlign w:val="subscript"/>
        </w:rPr>
        <w:t>1</w:t>
      </w:r>
      <w:r w:rsidRPr="00FB1858">
        <w:rPr>
          <w:color w:val="000000" w:themeColor="text1"/>
          <w:sz w:val="20"/>
          <w:szCs w:val="20"/>
        </w:rPr>
        <w:t>,</w:t>
      </w:r>
      <w:r w:rsidR="00C1051D" w:rsidRPr="00A34C21">
        <w:rPr>
          <w:color w:val="000000" w:themeColor="text1"/>
          <w:sz w:val="20"/>
          <w:szCs w:val="20"/>
        </w:rPr>
        <w:t xml:space="preserve"> </w:t>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r>
      <w:r w:rsidR="00C1051D" w:rsidRPr="00A34C21">
        <w:rPr>
          <w:color w:val="000000" w:themeColor="text1"/>
          <w:sz w:val="20"/>
          <w:szCs w:val="20"/>
        </w:rPr>
        <w:tab/>
        <w:t>(2)</w:t>
      </w:r>
    </w:p>
    <w:p w14:paraId="1643F6F5" w14:textId="25A64C20" w:rsidR="002F06E6" w:rsidRPr="00FB1858" w:rsidRDefault="002F06E6" w:rsidP="00FB1858">
      <w:pPr>
        <w:spacing w:line="480" w:lineRule="auto"/>
        <w:rPr>
          <w:color w:val="000000" w:themeColor="text1"/>
          <w:sz w:val="20"/>
          <w:szCs w:val="20"/>
        </w:rPr>
      </w:pPr>
      <w:r w:rsidRPr="00FB1858">
        <w:rPr>
          <w:color w:val="000000" w:themeColor="text1"/>
          <w:sz w:val="20"/>
          <w:szCs w:val="20"/>
        </w:rPr>
        <w:t>where “p</w:t>
      </w:r>
      <w:r w:rsidRPr="00FB1858">
        <w:rPr>
          <w:color w:val="000000" w:themeColor="text1"/>
          <w:sz w:val="20"/>
          <w:szCs w:val="20"/>
          <w:vertAlign w:val="subscript"/>
        </w:rPr>
        <w:t>0</w:t>
      </w:r>
      <w:r w:rsidRPr="00FB1858">
        <w:rPr>
          <w:color w:val="000000" w:themeColor="text1"/>
          <w:sz w:val="20"/>
          <w:szCs w:val="20"/>
        </w:rPr>
        <w:t>” represents the pre-specified fixed null response probability, which can be given by the historical RR of an active control treatment; and “p</w:t>
      </w:r>
      <w:r w:rsidRPr="00FB1858">
        <w:rPr>
          <w:color w:val="000000" w:themeColor="text1"/>
          <w:sz w:val="20"/>
          <w:szCs w:val="20"/>
          <w:vertAlign w:val="subscript"/>
        </w:rPr>
        <w:t>1</w:t>
      </w:r>
      <w:r w:rsidRPr="00FB1858">
        <w:rPr>
          <w:color w:val="000000" w:themeColor="text1"/>
          <w:sz w:val="20"/>
          <w:szCs w:val="20"/>
        </w:rPr>
        <w:t>” is the minimum desired response probability required to progress the treatment to a subsequent trial phase</w:t>
      </w:r>
      <w:r w:rsidR="006B107E"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{"citationID":"KttCxZE4","properties":{"formattedCitation":"\\super 1\\nosupersub{}","plainCitation":"1","noteIndex":0},"citationItems":[{"id":1036,"uris":["http://zotero.org/users/921050/items/TRAWFJNJ"],"uri":["http://zotero.org/users/921050/items/TRAWFJNJ"],"itemData":{"id":1036,"type":"article-journal","title":"Sample size tables for exact single-stage phase II designs","container-title":"Statistics in Medicine","page":"859-866","volume":"20","issue":"6","source":"PubMed","abstract":"Tables for single-phase II trials based on the exact binomial distribution are presented. These are preferable to those generated using Fleming's design, which are based on the normal approximation and can give rise to anomalous results. For example, if the upper success rate is accepted, the lower success rate, which the trial is designed to reject, may be included in the final confidence interval for the proportion being estimated.","DOI":"10.1002/sim.721","ISSN":"0277-6715","note":"PMID: 11252008","journalAbbreviation":"Stat Med","language":"eng","author":[{"family":"A'Hern","given":"R. P."}],"issued":{"date-parts":[["2001",3,30]]}}}],"schema":"https://github.com/citation-style-language/schema/raw/master/csl-citation.json"}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1</w:t>
      </w:r>
      <w:r w:rsidRPr="00FB1858">
        <w:rPr>
          <w:color w:val="000000" w:themeColor="text1"/>
          <w:sz w:val="20"/>
          <w:szCs w:val="20"/>
        </w:rPr>
        <w:fldChar w:fldCharType="end"/>
      </w:r>
    </w:p>
    <w:p w14:paraId="0CF5455C" w14:textId="0279E45D" w:rsidR="00AD1141" w:rsidRPr="00FB1858" w:rsidRDefault="002F06E6" w:rsidP="00FB1858">
      <w:pPr>
        <w:spacing w:line="480" w:lineRule="auto"/>
        <w:rPr>
          <w:color w:val="000000" w:themeColor="text1"/>
          <w:sz w:val="20"/>
          <w:szCs w:val="20"/>
        </w:rPr>
      </w:pPr>
      <w:r w:rsidRPr="00FB1858">
        <w:rPr>
          <w:color w:val="000000" w:themeColor="text1"/>
          <w:sz w:val="20"/>
          <w:szCs w:val="20"/>
        </w:rPr>
        <w:t>For a specified type I error rate α, the rejection value α is defined as the smallest number satisfying the following:</w:t>
      </w:r>
    </w:p>
    <w:p w14:paraId="05AEB281" w14:textId="1B13235F" w:rsidR="002F06E6" w:rsidRPr="00FB1858" w:rsidRDefault="002F06E6" w:rsidP="00FB1858">
      <w:pPr>
        <w:tabs>
          <w:tab w:val="left" w:pos="2820"/>
        </w:tabs>
        <w:spacing w:line="480" w:lineRule="auto"/>
        <w:ind w:firstLine="284"/>
        <w:outlineLvl w:val="0"/>
        <w:rPr>
          <w:color w:val="000000" w:themeColor="text1"/>
          <w:sz w:val="20"/>
          <w:szCs w:val="20"/>
        </w:rPr>
      </w:pPr>
      <w:proofErr w:type="gramStart"/>
      <w:r w:rsidRPr="00FB1858">
        <w:rPr>
          <w:color w:val="000000" w:themeColor="text1"/>
          <w:sz w:val="20"/>
          <w:szCs w:val="20"/>
        </w:rPr>
        <w:t>B(</w:t>
      </w:r>
      <w:proofErr w:type="spellStart"/>
      <w:proofErr w:type="gramEnd"/>
      <w:r w:rsidRPr="00FB1858">
        <w:rPr>
          <w:color w:val="000000" w:themeColor="text1"/>
          <w:sz w:val="20"/>
          <w:szCs w:val="20"/>
        </w:rPr>
        <w:t>a|n</w:t>
      </w:r>
      <w:proofErr w:type="spellEnd"/>
      <w:r w:rsidRPr="00FB1858">
        <w:rPr>
          <w:color w:val="000000" w:themeColor="text1"/>
          <w:sz w:val="20"/>
          <w:szCs w:val="20"/>
        </w:rPr>
        <w:t>, p</w:t>
      </w:r>
      <w:r w:rsidRPr="00FB1858">
        <w:rPr>
          <w:color w:val="000000" w:themeColor="text1"/>
          <w:sz w:val="20"/>
          <w:szCs w:val="20"/>
          <w:vertAlign w:val="subscript"/>
        </w:rPr>
        <w:t>0</w:t>
      </w:r>
      <w:r w:rsidRPr="00FB1858">
        <w:rPr>
          <w:color w:val="000000" w:themeColor="text1"/>
          <w:sz w:val="20"/>
          <w:szCs w:val="20"/>
        </w:rPr>
        <w:t>) ≥ 1- α</w:t>
      </w:r>
      <w:r w:rsidRPr="00FB1858">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(3)</w:t>
      </w:r>
    </w:p>
    <w:p w14:paraId="1A02ABF9" w14:textId="77777777" w:rsidR="002F06E6" w:rsidRPr="00FB1858" w:rsidRDefault="002F06E6" w:rsidP="00FB1858">
      <w:pPr>
        <w:spacing w:line="480" w:lineRule="auto"/>
        <w:rPr>
          <w:color w:val="000000" w:themeColor="text1"/>
          <w:sz w:val="20"/>
          <w:szCs w:val="20"/>
        </w:rPr>
      </w:pPr>
      <w:r w:rsidRPr="00FB1858">
        <w:rPr>
          <w:color w:val="000000" w:themeColor="text1"/>
          <w:sz w:val="20"/>
          <w:szCs w:val="20"/>
        </w:rPr>
        <w:t>And the power should be calculated by:</w:t>
      </w:r>
    </w:p>
    <w:p w14:paraId="738C3044" w14:textId="4B696E37" w:rsidR="002F06E6" w:rsidRPr="00FB1858" w:rsidRDefault="002F06E6" w:rsidP="00FB1858">
      <w:pPr>
        <w:spacing w:line="480" w:lineRule="auto"/>
        <w:ind w:firstLine="284"/>
        <w:rPr>
          <w:color w:val="000000" w:themeColor="text1"/>
          <w:sz w:val="20"/>
          <w:szCs w:val="20"/>
        </w:rPr>
      </w:pPr>
      <w:r w:rsidRPr="00FB1858">
        <w:rPr>
          <w:color w:val="000000" w:themeColor="text1"/>
          <w:sz w:val="20"/>
          <w:szCs w:val="20"/>
        </w:rPr>
        <w:t xml:space="preserve">1 - β = 1 - </w:t>
      </w:r>
      <w:proofErr w:type="gramStart"/>
      <w:r w:rsidRPr="00FB1858">
        <w:rPr>
          <w:color w:val="000000" w:themeColor="text1"/>
          <w:sz w:val="20"/>
          <w:szCs w:val="20"/>
        </w:rPr>
        <w:t>B(</w:t>
      </w:r>
      <w:proofErr w:type="spellStart"/>
      <w:proofErr w:type="gramEnd"/>
      <w:r w:rsidRPr="00FB1858">
        <w:rPr>
          <w:color w:val="000000" w:themeColor="text1"/>
          <w:sz w:val="20"/>
          <w:szCs w:val="20"/>
        </w:rPr>
        <w:t>a|n</w:t>
      </w:r>
      <w:proofErr w:type="spellEnd"/>
      <w:r w:rsidRPr="00FB1858">
        <w:rPr>
          <w:color w:val="000000" w:themeColor="text1"/>
          <w:sz w:val="20"/>
          <w:szCs w:val="20"/>
        </w:rPr>
        <w:t>, p</w:t>
      </w:r>
      <w:r w:rsidRPr="00FB1858">
        <w:rPr>
          <w:color w:val="000000" w:themeColor="text1"/>
          <w:sz w:val="20"/>
          <w:szCs w:val="20"/>
          <w:vertAlign w:val="subscript"/>
        </w:rPr>
        <w:t>1</w:t>
      </w:r>
      <w:r w:rsidRPr="00FB1858">
        <w:rPr>
          <w:color w:val="000000" w:themeColor="text1"/>
          <w:sz w:val="20"/>
          <w:szCs w:val="20"/>
        </w:rPr>
        <w:t>)</w:t>
      </w:r>
      <w:r w:rsidR="00A34C21" w:rsidRPr="00A34C21">
        <w:rPr>
          <w:color w:val="000000" w:themeColor="text1"/>
          <w:sz w:val="20"/>
          <w:szCs w:val="20"/>
        </w:rPr>
        <w:t xml:space="preserve"> </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(4)</w:t>
      </w:r>
    </w:p>
    <w:p w14:paraId="44A256C0" w14:textId="193A632F" w:rsidR="00AD1141" w:rsidRPr="00FB1858" w:rsidRDefault="002F06E6" w:rsidP="00FB1858">
      <w:pPr>
        <w:spacing w:line="480" w:lineRule="auto"/>
        <w:rPr>
          <w:color w:val="000000" w:themeColor="text1"/>
          <w:sz w:val="20"/>
          <w:szCs w:val="20"/>
        </w:rPr>
      </w:pPr>
      <w:r w:rsidRPr="00FB1858">
        <w:rPr>
          <w:color w:val="000000" w:themeColor="text1"/>
          <w:sz w:val="20"/>
          <w:szCs w:val="20"/>
        </w:rPr>
        <w:t>where “a” is the expected number of responding patients, “n” is the expected number of patients included in the study and “s” represents the observed number of responding patients. The cumulative distribution function and the probability mass function (PMF) are defined as follows:</w:t>
      </w:r>
    </w:p>
    <w:p w14:paraId="6CED0E10" w14:textId="25D7CED0" w:rsidR="002F06E6" w:rsidRPr="00FB1858" w:rsidRDefault="002F06E6" w:rsidP="00FB1858">
      <w:pPr>
        <w:spacing w:line="480" w:lineRule="auto"/>
        <w:ind w:firstLine="284"/>
        <w:rPr>
          <w:color w:val="000000" w:themeColor="text1"/>
          <w:sz w:val="20"/>
          <w:szCs w:val="20"/>
        </w:rPr>
      </w:pPr>
      <w:proofErr w:type="gramStart"/>
      <w:r w:rsidRPr="00FB1858">
        <w:rPr>
          <w:color w:val="000000" w:themeColor="text1"/>
          <w:sz w:val="20"/>
          <w:szCs w:val="20"/>
        </w:rPr>
        <w:t>B(</w:t>
      </w:r>
      <w:proofErr w:type="spellStart"/>
      <w:proofErr w:type="gramEnd"/>
      <w:r w:rsidRPr="00FB1858">
        <w:rPr>
          <w:color w:val="000000" w:themeColor="text1"/>
          <w:sz w:val="20"/>
          <w:szCs w:val="20"/>
        </w:rPr>
        <w:t>s|n</w:t>
      </w:r>
      <w:proofErr w:type="spellEnd"/>
      <w:r w:rsidRPr="00FB1858">
        <w:rPr>
          <w:color w:val="000000" w:themeColor="text1"/>
          <w:sz w:val="20"/>
          <w:szCs w:val="20"/>
        </w:rPr>
        <w:t xml:space="preserve">, p) = </w:t>
      </w:r>
      <m:oMath>
        <m:nary>
          <m:naryPr>
            <m:chr m:val="∑"/>
            <m:limLoc m:val="subSup"/>
            <m:ctrlPr>
              <w:rPr>
                <w:rFonts w:ascii="Cambria Math" w:hAnsi="Cambria Math"/>
                <w:color w:val="000000" w:themeColor="text1"/>
                <w:sz w:val="20"/>
                <w:szCs w:val="20"/>
              </w:rPr>
            </m:ctrlPr>
          </m:naryPr>
          <m:sub>
            <m:r>
              <w:rPr>
                <w:rFonts w:ascii="Cambria Math" w:hAnsi="Cambria Math"/>
                <w:color w:val="000000" w:themeColor="text1"/>
                <w:sz w:val="20"/>
                <w:szCs w:val="20"/>
              </w:rPr>
              <m:t>i</m:t>
            </m:r>
            <m:r>
              <m:rPr>
                <m:sty m:val="p"/>
              </m:rPr>
              <w:rPr>
                <w:rFonts w:ascii="Cambria Math" w:hAnsi="Cambria Math"/>
                <w:color w:val="000000" w:themeColor="text1"/>
                <w:sz w:val="20"/>
                <w:szCs w:val="20"/>
              </w:rPr>
              <m:t>=0</m:t>
            </m:r>
          </m:sub>
          <m:sup>
            <m:r>
              <w:rPr>
                <w:rFonts w:ascii="Cambria Math" w:hAnsi="Cambria Math"/>
                <w:color w:val="000000" w:themeColor="text1"/>
                <w:sz w:val="20"/>
                <w:szCs w:val="20"/>
              </w:rPr>
              <m:t>s</m:t>
            </m:r>
          </m:sup>
          <m:e>
            <m:r>
              <w:rPr>
                <w:rFonts w:ascii="Cambria Math" w:hAnsi="Cambria Math"/>
                <w:color w:val="000000" w:themeColor="text1"/>
                <w:sz w:val="20"/>
                <w:szCs w:val="20"/>
              </w:rPr>
              <m:t>b</m:t>
            </m:r>
            <m:r>
              <m:rPr>
                <m:sty m:val="p"/>
              </m:rPr>
              <w:rPr>
                <w:rFonts w:ascii="Cambria Math" w:hAnsi="Cambria Math"/>
                <w:color w:val="000000" w:themeColor="text1"/>
                <w:sz w:val="20"/>
                <w:szCs w:val="20"/>
              </w:rPr>
              <m:t>(</m:t>
            </m:r>
            <m:r>
              <w:rPr>
                <w:rFonts w:ascii="Cambria Math" w:hAnsi="Cambria Math"/>
                <w:color w:val="000000" w:themeColor="text1"/>
                <w:sz w:val="20"/>
                <w:szCs w:val="20"/>
              </w:rPr>
              <m:t>i</m:t>
            </m:r>
            <m:r>
              <m:rPr>
                <m:sty m:val="p"/>
              </m:rPr>
              <w:rPr>
                <w:rFonts w:ascii="Cambria Math" w:hAnsi="Cambria Math"/>
                <w:color w:val="000000" w:themeColor="text1"/>
                <w:sz w:val="20"/>
                <w:szCs w:val="20"/>
              </w:rPr>
              <m:t>|</m:t>
            </m:r>
            <m:r>
              <w:rPr>
                <w:rFonts w:ascii="Cambria Math" w:hAnsi="Cambria Math"/>
                <w:color w:val="000000" w:themeColor="text1"/>
                <w:sz w:val="20"/>
                <w:szCs w:val="20"/>
              </w:rPr>
              <m:t>n</m:t>
            </m:r>
            <m:r>
              <m:rPr>
                <m:sty m:val="p"/>
              </m:rPr>
              <w:rPr>
                <w:rFonts w:ascii="Cambria Math" w:hAnsi="Cambria Math"/>
                <w:color w:val="000000" w:themeColor="text1"/>
                <w:sz w:val="20"/>
                <w:szCs w:val="20"/>
              </w:rPr>
              <m:t>,</m:t>
            </m:r>
            <m:r>
              <w:rPr>
                <w:rFonts w:ascii="Cambria Math" w:hAnsi="Cambria Math"/>
                <w:color w:val="000000" w:themeColor="text1"/>
                <w:sz w:val="20"/>
                <w:szCs w:val="20"/>
              </w:rPr>
              <m:t>p</m:t>
            </m:r>
            <m:r>
              <m:rPr>
                <m:sty m:val="p"/>
              </m:rPr>
              <w:rPr>
                <w:rFonts w:ascii="Cambria Math" w:hAnsi="Cambria Math"/>
                <w:color w:val="000000" w:themeColor="text1"/>
                <w:sz w:val="20"/>
                <w:szCs w:val="20"/>
              </w:rPr>
              <m:t>)</m:t>
            </m:r>
          </m:e>
        </m:nary>
      </m:oMath>
      <w:r w:rsidRPr="00FB1858">
        <w:rPr>
          <w:color w:val="000000" w:themeColor="text1"/>
          <w:sz w:val="20"/>
          <w:szCs w:val="20"/>
        </w:rPr>
        <w:t>;</w:t>
      </w:r>
      <w:r w:rsidR="00A34C21" w:rsidRPr="00A34C21">
        <w:rPr>
          <w:color w:val="000000" w:themeColor="text1"/>
          <w:sz w:val="20"/>
          <w:szCs w:val="20"/>
        </w:rPr>
        <w:t xml:space="preserve"> </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(5)</w:t>
      </w:r>
    </w:p>
    <w:p w14:paraId="5D41665C" w14:textId="77777777" w:rsidR="002F06E6" w:rsidRPr="00FB1858" w:rsidRDefault="002F06E6" w:rsidP="00FB1858">
      <w:pPr>
        <w:spacing w:line="480" w:lineRule="auto"/>
        <w:rPr>
          <w:color w:val="000000" w:themeColor="text1"/>
          <w:sz w:val="20"/>
          <w:szCs w:val="20"/>
        </w:rPr>
      </w:pPr>
      <w:r w:rsidRPr="00FB1858">
        <w:rPr>
          <w:color w:val="000000" w:themeColor="text1"/>
          <w:sz w:val="20"/>
          <w:szCs w:val="20"/>
        </w:rPr>
        <w:t>and</w:t>
      </w:r>
    </w:p>
    <w:p w14:paraId="3100BCA7" w14:textId="2FF570DD" w:rsidR="002F06E6" w:rsidRPr="00FB1858" w:rsidRDefault="002F06E6" w:rsidP="00FB1858">
      <w:pPr>
        <w:spacing w:line="480" w:lineRule="auto"/>
        <w:ind w:firstLine="284"/>
        <w:rPr>
          <w:color w:val="000000" w:themeColor="text1"/>
          <w:sz w:val="20"/>
          <w:szCs w:val="20"/>
        </w:rPr>
      </w:pPr>
      <w:r w:rsidRPr="00FB1858">
        <w:rPr>
          <w:color w:val="000000" w:themeColor="text1"/>
          <w:sz w:val="20"/>
          <w:szCs w:val="20"/>
        </w:rPr>
        <w:t>b(</w:t>
      </w:r>
      <w:proofErr w:type="spellStart"/>
      <w:r w:rsidRPr="00FB1858">
        <w:rPr>
          <w:color w:val="000000" w:themeColor="text1"/>
          <w:sz w:val="20"/>
          <w:szCs w:val="20"/>
        </w:rPr>
        <w:t>s|</w:t>
      </w:r>
      <w:proofErr w:type="gramStart"/>
      <w:r w:rsidRPr="00FB1858">
        <w:rPr>
          <w:color w:val="000000" w:themeColor="text1"/>
          <w:sz w:val="20"/>
          <w:szCs w:val="20"/>
        </w:rPr>
        <w:t>n,p</w:t>
      </w:r>
      <w:proofErr w:type="spellEnd"/>
      <w:proofErr w:type="gramEnd"/>
      <w:r w:rsidRPr="00FB1858">
        <w:rPr>
          <w:color w:val="000000" w:themeColor="text1"/>
          <w:sz w:val="20"/>
          <w:szCs w:val="20"/>
        </w:rPr>
        <w:t xml:space="preserve">) = </w:t>
      </w:r>
      <m:oMath>
        <m:d>
          <m:dPr>
            <m:ctrlPr>
              <w:rPr>
                <w:rFonts w:ascii="Cambria Math" w:hAnsi="Cambria Math"/>
                <w:color w:val="000000" w:themeColor="text1"/>
                <w:sz w:val="20"/>
                <w:szCs w:val="20"/>
              </w:rPr>
            </m:ctrlPr>
          </m:dPr>
          <m:e>
            <m:m>
              <m:mPr>
                <m:mcs>
                  <m:mc>
                    <m:mcPr>
                      <m:count m:val="1"/>
                      <m:mcJc m:val="center"/>
                    </m:mcPr>
                  </m:mc>
                </m:mcs>
                <m:ctrlPr>
                  <w:rPr>
                    <w:rFonts w:ascii="Cambria Math" w:hAnsi="Cambria Math"/>
                    <w:color w:val="000000" w:themeColor="text1"/>
                    <w:sz w:val="20"/>
                    <w:szCs w:val="20"/>
                  </w:rPr>
                </m:ctrlPr>
              </m:mPr>
              <m:mr>
                <m:e>
                  <m:r>
                    <w:rPr>
                      <w:rFonts w:ascii="Cambria Math" w:hAnsi="Cambria Math"/>
                      <w:color w:val="000000" w:themeColor="text1"/>
                      <w:sz w:val="20"/>
                      <w:szCs w:val="20"/>
                    </w:rPr>
                    <m:t>n</m:t>
                  </m:r>
                </m:e>
              </m:mr>
              <m:mr>
                <m:e>
                  <m:r>
                    <w:rPr>
                      <w:rFonts w:ascii="Cambria Math" w:hAnsi="Cambria Math"/>
                      <w:color w:val="000000" w:themeColor="text1"/>
                      <w:sz w:val="20"/>
                      <w:szCs w:val="20"/>
                    </w:rPr>
                    <m:t>s</m:t>
                  </m:r>
                </m:e>
              </m:mr>
            </m:m>
          </m:e>
        </m:d>
      </m:oMath>
      <w:r w:rsidRPr="00FB1858">
        <w:rPr>
          <w:color w:val="000000" w:themeColor="text1"/>
          <w:sz w:val="20"/>
          <w:szCs w:val="20"/>
        </w:rPr>
        <w:t>p</w:t>
      </w:r>
      <w:r w:rsidRPr="00FB1858">
        <w:rPr>
          <w:color w:val="000000" w:themeColor="text1"/>
          <w:sz w:val="20"/>
          <w:szCs w:val="20"/>
          <w:vertAlign w:val="superscript"/>
        </w:rPr>
        <w:t>s</w:t>
      </w:r>
      <w:r w:rsidRPr="00FB1858">
        <w:rPr>
          <w:color w:val="000000" w:themeColor="text1"/>
          <w:sz w:val="20"/>
          <w:szCs w:val="20"/>
        </w:rPr>
        <w:t xml:space="preserve"> (1 - p)</w:t>
      </w:r>
      <w:r w:rsidRPr="00FB1858">
        <w:rPr>
          <w:color w:val="000000" w:themeColor="text1"/>
          <w:sz w:val="20"/>
          <w:szCs w:val="20"/>
          <w:vertAlign w:val="superscript"/>
        </w:rPr>
        <w:t>n-s</w:t>
      </w:r>
      <w:r w:rsidRPr="00FB1858">
        <w:rPr>
          <w:color w:val="000000" w:themeColor="text1"/>
          <w:sz w:val="20"/>
          <w:szCs w:val="20"/>
        </w:rPr>
        <w:t xml:space="preserve"> </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(6)</w:t>
      </w:r>
    </w:p>
    <w:p w14:paraId="0452155C" w14:textId="701447B1" w:rsidR="002F06E6" w:rsidRPr="00FB1858" w:rsidRDefault="002F06E6" w:rsidP="00FB1858">
      <w:pPr>
        <w:spacing w:line="480" w:lineRule="auto"/>
        <w:rPr>
          <w:color w:val="000000" w:themeColor="text1"/>
          <w:sz w:val="20"/>
          <w:szCs w:val="20"/>
        </w:rPr>
      </w:pPr>
      <w:r w:rsidRPr="00FB1858">
        <w:rPr>
          <w:color w:val="000000" w:themeColor="text1"/>
          <w:sz w:val="20"/>
          <w:szCs w:val="20"/>
        </w:rPr>
        <w:lastRenderedPageBreak/>
        <w:t>respectively</w:t>
      </w:r>
      <w:r w:rsidR="006B107E"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{"citationID":"u894Olxd","properties":{"formattedCitation":"\\super 2\\nosupersub{}","plainCitation":"2","noteIndex":0},"citationItems":[{"id":1024,"uris":["http://zotero.org/users/921050/items/M9VVZ74C"],"uri":["http://zotero.org/users/921050/items/M9VVZ74C"],"itemData":{"id":1024,"type":"chapter","title":"Randomized Phase II Cancer Clinical Trials.","collection-title":"Chapman &amp; Hall/CRC Biostatistics Series","collection-number":"CAT# K13295","edition":"Chapman and Hall/CRC","abstract":"In cancer research, a traditional phase II trial is designed as a single-arm trial that compares the experimental therapy to a historical control. This simple trial design has led to several adverse issues, including increased false positivity of phase II trial results and negative phase III trials. To rectify these problems, oncologists and biostatisticians have begun to use a randomized phase II trial that compares an experimental therapy with a prospective control therapy.\n\nRandomized Phase II Cancer Clinical Trials explains how to properly select and accurately use diverse statistical methods for designing and analyzing phase II trials. The author first reviews the statistical methods for single-arm phase II trials since some methodologies for randomized phase II trials stem from single-arm phase II trials and many phase II cancer clinical trials still use single-arm designs. The book then presents methods for randomized phase II trials and describes statistical methods for both single-arm and randomized phase II trials. Although the text focuses on phase II cancer clinical trials, the statistical methods covered can also be used (with minor modifications) in phase II trials for other diseases and in phase III cancer clinical trials.\n\nSuitable for cancer clinicians and biostatisticians, this book shows how randomized phase II trials with a prospective control resolve the shortcomings of traditional single-arm phase II trials. It provides readers with numerous statistical design and analysis methods for randomized phase II trials in oncology.","ISBN":"978-1-4398-7185-0","language":"English","author":[{"literal":"Sin-Ho Jung"}],"issued":{"date-parts":[["2013",5]]}}}],"schema":"https://github.com/citation-style-language/schema/raw/master/csl-citation.json"}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2</w:t>
      </w:r>
      <w:r w:rsidRPr="00FB1858">
        <w:rPr>
          <w:color w:val="000000" w:themeColor="text1"/>
          <w:sz w:val="20"/>
          <w:szCs w:val="20"/>
        </w:rPr>
        <w:fldChar w:fldCharType="end"/>
      </w:r>
    </w:p>
    <w:p w14:paraId="5C0A10DC" w14:textId="77777777" w:rsidR="002F06E6" w:rsidRPr="00FB1858" w:rsidRDefault="002F06E6" w:rsidP="00FB1858">
      <w:pPr>
        <w:spacing w:line="480" w:lineRule="auto"/>
        <w:rPr>
          <w:color w:val="000000" w:themeColor="text1"/>
          <w:sz w:val="20"/>
          <w:szCs w:val="20"/>
        </w:rPr>
      </w:pPr>
      <w:r w:rsidRPr="00FB1858">
        <w:rPr>
          <w:color w:val="000000" w:themeColor="text1"/>
          <w:sz w:val="20"/>
          <w:szCs w:val="20"/>
        </w:rPr>
        <w:t>Accordingly, the study will achieve a positive finding when “p” will be higher than “p</w:t>
      </w:r>
      <w:r w:rsidRPr="00FB1858">
        <w:rPr>
          <w:color w:val="000000" w:themeColor="text1"/>
          <w:sz w:val="20"/>
          <w:szCs w:val="20"/>
          <w:vertAlign w:val="subscript"/>
        </w:rPr>
        <w:t>0</w:t>
      </w:r>
      <w:r w:rsidRPr="00FB1858">
        <w:rPr>
          <w:color w:val="000000" w:themeColor="text1"/>
          <w:sz w:val="20"/>
          <w:szCs w:val="20"/>
        </w:rPr>
        <w:t>” and when significance level evaluated by binomial test will be ≤ α. Although “p” may not be higher than p</w:t>
      </w:r>
      <w:r w:rsidRPr="00FB1858">
        <w:rPr>
          <w:color w:val="000000" w:themeColor="text1"/>
          <w:sz w:val="20"/>
          <w:szCs w:val="20"/>
          <w:vertAlign w:val="subscript"/>
        </w:rPr>
        <w:t>1</w:t>
      </w:r>
      <w:r w:rsidRPr="00FB1858">
        <w:rPr>
          <w:color w:val="000000" w:themeColor="text1"/>
          <w:sz w:val="20"/>
          <w:szCs w:val="20"/>
        </w:rPr>
        <w:t>.</w:t>
      </w:r>
    </w:p>
    <w:p w14:paraId="0935A8BC" w14:textId="77777777" w:rsidR="002F06E6" w:rsidRPr="00FB1858" w:rsidRDefault="002F06E6" w:rsidP="00FB1858">
      <w:pPr>
        <w:pStyle w:val="NormalWeb"/>
        <w:shd w:val="clear" w:color="auto" w:fill="FFFFFF"/>
        <w:spacing w:before="0" w:beforeAutospacing="0" w:after="0" w:afterAutospacing="0" w:line="480" w:lineRule="auto"/>
        <w:jc w:val="left"/>
        <w:rPr>
          <w:b/>
          <w:color w:val="000000" w:themeColor="text1"/>
          <w:sz w:val="20"/>
          <w:szCs w:val="20"/>
        </w:rPr>
      </w:pPr>
    </w:p>
    <w:p w14:paraId="6A96DB7B" w14:textId="77777777" w:rsidR="002F06E6" w:rsidRPr="00FB1858" w:rsidRDefault="002F06E6" w:rsidP="00FB1858">
      <w:pPr>
        <w:pStyle w:val="NormalWeb"/>
        <w:numPr>
          <w:ilvl w:val="0"/>
          <w:numId w:val="7"/>
        </w:numPr>
        <w:shd w:val="clear" w:color="auto" w:fill="FFFFFF"/>
        <w:spacing w:before="0" w:beforeAutospacing="0" w:after="0" w:afterAutospacing="0" w:line="480" w:lineRule="auto"/>
        <w:jc w:val="left"/>
        <w:outlineLvl w:val="0"/>
        <w:rPr>
          <w:b/>
          <w:color w:val="000000" w:themeColor="text1"/>
          <w:sz w:val="20"/>
          <w:szCs w:val="20"/>
        </w:rPr>
      </w:pPr>
      <w:r w:rsidRPr="00FB1858">
        <w:rPr>
          <w:b/>
          <w:color w:val="000000" w:themeColor="text1"/>
          <w:sz w:val="20"/>
          <w:szCs w:val="20"/>
        </w:rPr>
        <w:t>Non-inferiority (NI) analysis</w:t>
      </w:r>
    </w:p>
    <w:p w14:paraId="386EFDD0" w14:textId="1B691458" w:rsidR="002F06E6" w:rsidRPr="00FB1858" w:rsidRDefault="002F06E6" w:rsidP="00FB1858">
      <w:pPr>
        <w:tabs>
          <w:tab w:val="left" w:pos="3700"/>
        </w:tabs>
        <w:spacing w:line="480" w:lineRule="auto"/>
        <w:ind w:firstLine="284"/>
        <w:rPr>
          <w:color w:val="000000" w:themeColor="text1"/>
          <w:sz w:val="20"/>
          <w:szCs w:val="20"/>
        </w:rPr>
      </w:pPr>
      <w:r w:rsidRPr="00FB1858">
        <w:rPr>
          <w:color w:val="000000" w:themeColor="text1"/>
          <w:sz w:val="20"/>
          <w:szCs w:val="20"/>
        </w:rPr>
        <w:t>The goal of NI analysis is to show that the effect of the test compound (p) is not inferior to the effect of the active control (p</w:t>
      </w:r>
      <w:r w:rsidRPr="00FB1858">
        <w:rPr>
          <w:color w:val="000000" w:themeColor="text1"/>
          <w:sz w:val="20"/>
          <w:szCs w:val="20"/>
          <w:vertAlign w:val="subscript"/>
        </w:rPr>
        <w:t>0</w:t>
      </w:r>
      <w:r w:rsidRPr="00FB1858">
        <w:rPr>
          <w:color w:val="000000" w:themeColor="text1"/>
          <w:sz w:val="20"/>
          <w:szCs w:val="20"/>
        </w:rPr>
        <w:t>) by a specified amount, also known as the NI margin (NIM). The null and alternative hypotheses should be defined as follows</w:t>
      </w:r>
      <w:r w:rsidR="006B107E"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{"citationID":"TjlwPdEM","properties":{"formattedCitation":"\\super 3\\nosupersub{}","plainCitation":"3","noteIndex":0},"citationItems":[{"id":1029,"uris":["http://zotero.org/users/921050/items/UPD9GIV8"],"uri":["http://zotero.org/users/921050/items/UPD9GIV8"],"itemData":{"id":1029,"type":"webpage","title":"Non-Inferiority Clinical Trials to Establish Effectiveness. Guidance for Industry.","container-title":"https://www.fda.gov/downloads/Drugs/Guidances/UCM202140.pdf","language":"English","author":[{"literal":"U.S. Department of Health and Human Services Food and Drug Administration"},{"literal":"Center for Drug Evaluation and Research (CDER)"},{"literal":"Center for Biologics Evaluation and Research (CBER)"}],"issued":{"date-parts":[["2016",11]]}}}],"schema":"https://github.com/citation-style-language/schema/raw/master/csl-citation.json"}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3</w:t>
      </w:r>
      <w:r w:rsidRPr="00FB1858">
        <w:rPr>
          <w:color w:val="000000" w:themeColor="text1"/>
          <w:sz w:val="20"/>
          <w:szCs w:val="20"/>
        </w:rPr>
        <w:fldChar w:fldCharType="end"/>
      </w:r>
    </w:p>
    <w:p w14:paraId="150BDF45" w14:textId="1B0C96F5" w:rsidR="002F06E6" w:rsidRPr="00FB1858" w:rsidRDefault="002F06E6" w:rsidP="00FB1858">
      <w:pPr>
        <w:tabs>
          <w:tab w:val="left" w:pos="3700"/>
        </w:tabs>
        <w:spacing w:line="480" w:lineRule="auto"/>
        <w:ind w:firstLine="284"/>
        <w:rPr>
          <w:color w:val="000000" w:themeColor="text1"/>
          <w:sz w:val="20"/>
          <w:szCs w:val="20"/>
        </w:rPr>
      </w:pPr>
      <w:r w:rsidRPr="00FB1858">
        <w:rPr>
          <w:color w:val="000000" w:themeColor="text1"/>
          <w:sz w:val="20"/>
          <w:szCs w:val="20"/>
        </w:rPr>
        <w:t>H</w:t>
      </w:r>
      <w:r w:rsidRPr="00FB1858">
        <w:rPr>
          <w:color w:val="000000" w:themeColor="text1"/>
          <w:sz w:val="20"/>
          <w:szCs w:val="20"/>
          <w:vertAlign w:val="subscript"/>
        </w:rPr>
        <w:t>0</w:t>
      </w:r>
      <w:r w:rsidRPr="00FB1858">
        <w:rPr>
          <w:color w:val="000000" w:themeColor="text1"/>
          <w:sz w:val="20"/>
          <w:szCs w:val="20"/>
        </w:rPr>
        <w:t>: p</w:t>
      </w:r>
      <w:r w:rsidRPr="00FB1858">
        <w:rPr>
          <w:color w:val="000000" w:themeColor="text1"/>
          <w:sz w:val="20"/>
          <w:szCs w:val="20"/>
          <w:vertAlign w:val="subscript"/>
        </w:rPr>
        <w:t>0</w:t>
      </w:r>
      <w:r w:rsidRPr="00FB1858">
        <w:rPr>
          <w:color w:val="000000" w:themeColor="text1"/>
          <w:sz w:val="20"/>
          <w:szCs w:val="20"/>
        </w:rPr>
        <w:t xml:space="preserve"> – p ≥ NIM (p is inferior to the control (p</w:t>
      </w:r>
      <w:r w:rsidRPr="00FB1858">
        <w:rPr>
          <w:color w:val="000000" w:themeColor="text1"/>
          <w:sz w:val="20"/>
          <w:szCs w:val="20"/>
          <w:vertAlign w:val="subscript"/>
        </w:rPr>
        <w:t>0</w:t>
      </w:r>
      <w:r w:rsidRPr="00FB1858">
        <w:rPr>
          <w:color w:val="000000" w:themeColor="text1"/>
          <w:sz w:val="20"/>
          <w:szCs w:val="20"/>
        </w:rPr>
        <w:t>) by NIM or more);</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(7)</w:t>
      </w:r>
    </w:p>
    <w:p w14:paraId="03811138" w14:textId="5AF76B77" w:rsidR="002F06E6" w:rsidRPr="00FB1858" w:rsidRDefault="002F06E6" w:rsidP="00FB1858">
      <w:pPr>
        <w:tabs>
          <w:tab w:val="left" w:pos="3700"/>
        </w:tabs>
        <w:spacing w:line="480" w:lineRule="auto"/>
        <w:ind w:firstLine="284"/>
        <w:rPr>
          <w:color w:val="000000" w:themeColor="text1"/>
          <w:sz w:val="20"/>
          <w:szCs w:val="20"/>
        </w:rPr>
      </w:pPr>
      <w:r w:rsidRPr="00FB1858">
        <w:rPr>
          <w:color w:val="000000" w:themeColor="text1"/>
          <w:sz w:val="20"/>
          <w:szCs w:val="20"/>
        </w:rPr>
        <w:t>H</w:t>
      </w:r>
      <w:r w:rsidRPr="00FB1858">
        <w:rPr>
          <w:color w:val="000000" w:themeColor="text1"/>
          <w:sz w:val="20"/>
          <w:szCs w:val="20"/>
          <w:vertAlign w:val="subscript"/>
        </w:rPr>
        <w:t>a</w:t>
      </w:r>
      <w:r w:rsidRPr="00FB1858">
        <w:rPr>
          <w:color w:val="000000" w:themeColor="text1"/>
          <w:sz w:val="20"/>
          <w:szCs w:val="20"/>
        </w:rPr>
        <w:t>: p</w:t>
      </w:r>
      <w:r w:rsidRPr="00FB1858">
        <w:rPr>
          <w:color w:val="000000" w:themeColor="text1"/>
          <w:sz w:val="20"/>
          <w:szCs w:val="20"/>
          <w:vertAlign w:val="subscript"/>
        </w:rPr>
        <w:t>0</w:t>
      </w:r>
      <w:r w:rsidRPr="00FB1858">
        <w:rPr>
          <w:color w:val="000000" w:themeColor="text1"/>
          <w:sz w:val="20"/>
          <w:szCs w:val="20"/>
        </w:rPr>
        <w:t xml:space="preserve"> – p &lt; NIM (p is inferior to the control (p</w:t>
      </w:r>
      <w:r w:rsidRPr="00FB1858">
        <w:rPr>
          <w:color w:val="000000" w:themeColor="text1"/>
          <w:sz w:val="20"/>
          <w:szCs w:val="20"/>
          <w:vertAlign w:val="subscript"/>
        </w:rPr>
        <w:t>0</w:t>
      </w:r>
      <w:r w:rsidRPr="00FB1858">
        <w:rPr>
          <w:color w:val="000000" w:themeColor="text1"/>
          <w:sz w:val="20"/>
          <w:szCs w:val="20"/>
        </w:rPr>
        <w:t>) by less than NIM).</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(8)</w:t>
      </w:r>
    </w:p>
    <w:p w14:paraId="0C107771" w14:textId="6FFBB9AC" w:rsidR="00AD1141"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Although the NI margin used in a trial can be no higher than the entire assumed effect of the active control against placebo (M1), it is generally desirable to choose a lower margin (M2) that reflects the largest loss of effect clinically acceptable</w:t>
      </w:r>
      <w:r w:rsidR="006B107E"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{"citationID":"GUatHGJC","properties":{"formattedCitation":"\\super 3\\nosupersub{}","plainCitation":"3","noteIndex":0},"citationItems":[{"id":1029,"uris":["http://zotero.org/users/921050/items/UPD9GIV8"],"uri":["http://zotero.org/users/921050/items/UPD9GIV8"],"itemData":{"id":1029,"type":"webpage","title":"Non-Inferiority Clinical Trials to Establish Effectiveness. Guidance for Industry.","container-title":"https://www.fda.gov/downloads/Drugs/Guidances/UCM202140.pdf","language":"English","author":[{"literal":"U.S. Department of Health and Human Services Food and Drug Administration"},{"literal":"Center for Drug Evaluation and Research (CDER)"},{"literal":"Center for Biologics Evaluation and Research (CBER)"}],"issued":{"date-parts":[["2016",11]]}}}],"schema":"https://github.com/citation-style-language/schema/raw/master/csl-citation.json"}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3</w:t>
      </w:r>
      <w:r w:rsidRPr="00FB1858">
        <w:rPr>
          <w:color w:val="000000" w:themeColor="text1"/>
          <w:sz w:val="20"/>
          <w:szCs w:val="20"/>
        </w:rPr>
        <w:fldChar w:fldCharType="end"/>
      </w:r>
      <w:r w:rsidRPr="00FB1858">
        <w:rPr>
          <w:color w:val="000000" w:themeColor="text1"/>
          <w:sz w:val="20"/>
          <w:szCs w:val="20"/>
        </w:rPr>
        <w:t xml:space="preserve"> Showing NI to M1 provides assurance that the test drug had an effect greater than zero, but in many cases that is sufficient to conclude that the test drug had a clinically acceptable effect</w:t>
      </w:r>
      <w:r w:rsidR="006B107E"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{"citationID":"mMT76Ukg","properties":{"formattedCitation":"\\super 3\\nosupersub{}","plainCitation":"3","noteIndex":0},"citationItems":[{"id":1029,"uris":["http://zotero.org/users/921050/items/UPD9GIV8"],"uri":["http://zotero.org/users/921050/items/UPD9GIV8"],"itemData":{"id":1029,"type":"webpage","title":"Non-Inferiority Clinical Trials to Establish Effectiveness. Guidance for Industry.","container-title":"https://www.fda.gov/downloads/Drugs/Guidances/UCM202140.pdf","language":"English","author":[{"literal":"U.S. Department of Health and Human Services Food and Drug Administration"},{"literal":"Center for Drug Evaluation and Research (CDER)"},{"literal":"Center for Biologics Evaluation and Research (CBER)"}],"issued":{"date-parts":[["2016",11]]}}}],"schema":"https://github.com/citation-style-language/schema/raw/master/csl-citation.json"}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3</w:t>
      </w:r>
      <w:r w:rsidRPr="00FB1858">
        <w:rPr>
          <w:color w:val="000000" w:themeColor="text1"/>
          <w:sz w:val="20"/>
          <w:szCs w:val="20"/>
        </w:rPr>
        <w:fldChar w:fldCharType="end"/>
      </w:r>
      <w:r w:rsidRPr="00FB1858">
        <w:rPr>
          <w:color w:val="000000" w:themeColor="text1"/>
          <w:sz w:val="20"/>
          <w:szCs w:val="20"/>
        </w:rPr>
        <w:t xml:space="preserve"> In a fixed margin approach the NIM could be estimated as risk ratio or risk difference, through the average effect of the active control over placebo in historical studies [(p </w:t>
      </w:r>
      <w:r w:rsidRPr="00FB1858">
        <w:rPr>
          <w:color w:val="000000" w:themeColor="text1"/>
          <w:sz w:val="20"/>
          <w:szCs w:val="20"/>
          <w:vertAlign w:val="subscript"/>
        </w:rPr>
        <w:t>control</w:t>
      </w:r>
      <w:r w:rsidRPr="00FB1858">
        <w:rPr>
          <w:color w:val="000000" w:themeColor="text1"/>
          <w:sz w:val="20"/>
          <w:szCs w:val="20"/>
        </w:rPr>
        <w:t xml:space="preserve"> / p</w:t>
      </w:r>
      <w:r w:rsidRPr="00FB1858">
        <w:rPr>
          <w:color w:val="000000" w:themeColor="text1"/>
          <w:sz w:val="20"/>
          <w:szCs w:val="20"/>
          <w:vertAlign w:val="subscript"/>
        </w:rPr>
        <w:t xml:space="preserve"> placebo</w:t>
      </w:r>
      <w:r w:rsidRPr="00FB1858">
        <w:rPr>
          <w:color w:val="000000" w:themeColor="text1"/>
          <w:sz w:val="20"/>
          <w:szCs w:val="20"/>
        </w:rPr>
        <w:t>)</w:t>
      </w:r>
      <w:r w:rsidRPr="00FB1858">
        <w:rPr>
          <w:color w:val="000000" w:themeColor="text1"/>
          <w:sz w:val="20"/>
          <w:szCs w:val="20"/>
          <w:vertAlign w:val="subscript"/>
        </w:rPr>
        <w:t xml:space="preserve"> </w:t>
      </w:r>
      <w:r w:rsidRPr="00FB1858">
        <w:rPr>
          <w:color w:val="000000" w:themeColor="text1"/>
          <w:sz w:val="20"/>
          <w:szCs w:val="20"/>
        </w:rPr>
        <w:t xml:space="preserve">&gt; 1 or (p </w:t>
      </w:r>
      <w:r w:rsidRPr="00FB1858">
        <w:rPr>
          <w:color w:val="000000" w:themeColor="text1"/>
          <w:sz w:val="20"/>
          <w:szCs w:val="20"/>
          <w:vertAlign w:val="subscript"/>
        </w:rPr>
        <w:t>control</w:t>
      </w:r>
      <w:r w:rsidRPr="00FB1858">
        <w:rPr>
          <w:color w:val="000000" w:themeColor="text1"/>
          <w:sz w:val="20"/>
          <w:szCs w:val="20"/>
        </w:rPr>
        <w:t xml:space="preserve"> - p</w:t>
      </w:r>
      <w:r w:rsidRPr="00FB1858">
        <w:rPr>
          <w:color w:val="000000" w:themeColor="text1"/>
          <w:sz w:val="20"/>
          <w:szCs w:val="20"/>
          <w:vertAlign w:val="subscript"/>
        </w:rPr>
        <w:t xml:space="preserve"> placebo</w:t>
      </w:r>
      <w:r w:rsidRPr="00FB1858">
        <w:rPr>
          <w:color w:val="000000" w:themeColor="text1"/>
          <w:sz w:val="20"/>
          <w:szCs w:val="20"/>
        </w:rPr>
        <w:t>)</w:t>
      </w:r>
      <w:r w:rsidRPr="00FB1858">
        <w:rPr>
          <w:color w:val="000000" w:themeColor="text1"/>
          <w:sz w:val="20"/>
          <w:szCs w:val="20"/>
          <w:vertAlign w:val="subscript"/>
        </w:rPr>
        <w:t xml:space="preserve"> </w:t>
      </w:r>
      <w:r w:rsidRPr="00FB1858">
        <w:rPr>
          <w:color w:val="000000" w:themeColor="text1"/>
          <w:sz w:val="20"/>
          <w:szCs w:val="20"/>
        </w:rPr>
        <w:t xml:space="preserve">&gt; 0], for example: </w:t>
      </w:r>
    </w:p>
    <w:p w14:paraId="4A5712A7" w14:textId="31059D4A" w:rsidR="002F06E6" w:rsidRPr="00FB1858" w:rsidRDefault="002F06E6" w:rsidP="00FB1858">
      <w:pPr>
        <w:tabs>
          <w:tab w:val="left" w:pos="3700"/>
        </w:tabs>
        <w:spacing w:line="480" w:lineRule="auto"/>
        <w:ind w:firstLine="284"/>
        <w:rPr>
          <w:color w:val="000000" w:themeColor="text1"/>
          <w:sz w:val="20"/>
          <w:szCs w:val="20"/>
        </w:rPr>
      </w:pPr>
      <w:r w:rsidRPr="00FB1858">
        <w:rPr>
          <w:color w:val="000000" w:themeColor="text1"/>
          <w:sz w:val="20"/>
          <w:szCs w:val="20"/>
        </w:rPr>
        <w:t>Relative risk = 2.64, 95% confidence interval (CI): (</w:t>
      </w:r>
      <w:r w:rsidRPr="00FB1858">
        <w:rPr>
          <w:color w:val="000000" w:themeColor="text1"/>
          <w:sz w:val="20"/>
          <w:szCs w:val="20"/>
          <w:u w:val="single"/>
        </w:rPr>
        <w:t>1.72</w:t>
      </w:r>
      <w:r w:rsidRPr="00FB1858">
        <w:rPr>
          <w:color w:val="000000" w:themeColor="text1"/>
          <w:sz w:val="20"/>
          <w:szCs w:val="20"/>
        </w:rPr>
        <w:t xml:space="preserve"> to 3.56).</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(9)</w:t>
      </w:r>
    </w:p>
    <w:p w14:paraId="09737141" w14:textId="74A51749" w:rsidR="002F06E6" w:rsidRPr="00FB1858" w:rsidRDefault="002F06E6" w:rsidP="00FB1858">
      <w:pPr>
        <w:tabs>
          <w:tab w:val="left" w:pos="3700"/>
        </w:tabs>
        <w:spacing w:line="480" w:lineRule="auto"/>
        <w:ind w:firstLine="284"/>
        <w:rPr>
          <w:color w:val="000000" w:themeColor="text1"/>
          <w:sz w:val="20"/>
          <w:szCs w:val="20"/>
        </w:rPr>
      </w:pPr>
      <w:r w:rsidRPr="00FB1858">
        <w:rPr>
          <w:color w:val="000000" w:themeColor="text1"/>
          <w:sz w:val="20"/>
          <w:szCs w:val="20"/>
        </w:rPr>
        <w:t>Risk difference = 0.15, 95% CI: (</w:t>
      </w:r>
      <w:r w:rsidRPr="00FB1858">
        <w:rPr>
          <w:color w:val="000000" w:themeColor="text1"/>
          <w:sz w:val="20"/>
          <w:szCs w:val="20"/>
          <w:u w:val="single"/>
        </w:rPr>
        <w:t>0.07</w:t>
      </w:r>
      <w:r w:rsidRPr="00FB1858">
        <w:rPr>
          <w:color w:val="000000" w:themeColor="text1"/>
          <w:sz w:val="20"/>
          <w:szCs w:val="20"/>
        </w:rPr>
        <w:t xml:space="preserve"> to 0.22).</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(10)</w:t>
      </w:r>
    </w:p>
    <w:p w14:paraId="3F8E7A99" w14:textId="77777777" w:rsidR="00F149CA" w:rsidRPr="00FB1858" w:rsidRDefault="00F149CA" w:rsidP="00FB1858">
      <w:pPr>
        <w:tabs>
          <w:tab w:val="left" w:pos="3700"/>
        </w:tabs>
        <w:spacing w:line="480" w:lineRule="auto"/>
        <w:rPr>
          <w:color w:val="000000" w:themeColor="text1"/>
          <w:sz w:val="20"/>
          <w:szCs w:val="20"/>
        </w:rPr>
      </w:pPr>
    </w:p>
    <w:p w14:paraId="2CCC8343" w14:textId="328F53CC"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We selected the 95% CI lower bound (1.72 or 0.07) and adjusted to retain at least 50% of the historical effect of active control versus placebo arms ([1.72^(1-0.5) = 1.31] or [0.07*(1-0.5) = 0.035])</w:t>
      </w:r>
      <w:r w:rsidR="00AD1141"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{"citationID":"lwiQAZTP","properties":{"formattedCitation":"\\super 3\\nosupersub{}","plainCitation":"3","noteIndex":0},"citationItems":[{"id":1029,"uris":["http://zotero.org/users/921050/items/UPD9GIV8"],"uri":["http://zotero.org/users/921050/items/UPD9GIV8"],"itemData":{"id":1029,"type":"webpage","title":"Non-Inferiority Clinical Trials to Establish Effectiveness. Guidance for Industry.","container-title":"https://www.fda.gov/downloads/Drugs/Guidances/UCM202140.pdf","language":"English","author":[{"literal":"U.S. Department of Health and Human Services Food and Drug Administration"},{"literal":"Center for Drug Evaluation and Research (CDER)"},{"literal":"Center for Biologics Evaluation and Research (CBER)"}],"issued":{"date-parts":[["2016",11]]}}}],"schema":"https://github.com/citation-style-language/schema/raw/master/csl-citation.json"}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3</w:t>
      </w:r>
      <w:r w:rsidRPr="00FB1858">
        <w:rPr>
          <w:color w:val="000000" w:themeColor="text1"/>
          <w:sz w:val="20"/>
          <w:szCs w:val="20"/>
        </w:rPr>
        <w:fldChar w:fldCharType="end"/>
      </w:r>
      <w:r w:rsidRPr="00FB1858">
        <w:rPr>
          <w:color w:val="000000" w:themeColor="text1"/>
          <w:sz w:val="20"/>
          <w:szCs w:val="20"/>
        </w:rPr>
        <w:t xml:space="preserve"> Accordingly, the NIM calculated describes a ratio or a difference reflecting the largest loss of effect in control group RR (p</w:t>
      </w:r>
      <w:r w:rsidRPr="00FB1858">
        <w:rPr>
          <w:color w:val="000000" w:themeColor="text1"/>
          <w:sz w:val="20"/>
          <w:szCs w:val="20"/>
          <w:vertAlign w:val="subscript"/>
        </w:rPr>
        <w:t>0</w:t>
      </w:r>
      <w:r w:rsidRPr="00FB1858">
        <w:rPr>
          <w:color w:val="000000" w:themeColor="text1"/>
          <w:sz w:val="20"/>
          <w:szCs w:val="20"/>
        </w:rPr>
        <w:t>) considered clinically acceptable. Therefore, the null and alternative hypothesis of NI analysis can be defined as follows and depending on p</w:t>
      </w:r>
      <w:r w:rsidRPr="00FB1858">
        <w:rPr>
          <w:color w:val="000000" w:themeColor="text1"/>
          <w:sz w:val="20"/>
          <w:szCs w:val="20"/>
          <w:vertAlign w:val="subscript"/>
        </w:rPr>
        <w:t>0</w:t>
      </w:r>
      <w:r w:rsidRPr="00FB1858">
        <w:rPr>
          <w:color w:val="000000" w:themeColor="text1"/>
          <w:sz w:val="20"/>
          <w:szCs w:val="20"/>
        </w:rPr>
        <w:t>/NIM:</w:t>
      </w:r>
    </w:p>
    <w:p w14:paraId="3CD4611B" w14:textId="5DB35812" w:rsidR="002F06E6" w:rsidRPr="00FB1858" w:rsidRDefault="002F06E6" w:rsidP="00FB1858">
      <w:pPr>
        <w:spacing w:line="480" w:lineRule="auto"/>
        <w:ind w:firstLine="284"/>
        <w:textAlignment w:val="center"/>
        <w:rPr>
          <w:color w:val="000000" w:themeColor="text1"/>
          <w:sz w:val="20"/>
          <w:szCs w:val="20"/>
        </w:rPr>
      </w:pPr>
      <w:r w:rsidRPr="00FB1858">
        <w:rPr>
          <w:color w:val="000000" w:themeColor="text1"/>
          <w:sz w:val="20"/>
          <w:szCs w:val="20"/>
        </w:rPr>
        <w:t>H</w:t>
      </w:r>
      <w:r w:rsidRPr="00FB1858">
        <w:rPr>
          <w:color w:val="000000" w:themeColor="text1"/>
          <w:sz w:val="20"/>
          <w:szCs w:val="20"/>
          <w:vertAlign w:val="subscript"/>
        </w:rPr>
        <w:t>0</w:t>
      </w:r>
      <w:r w:rsidRPr="00FB1858">
        <w:rPr>
          <w:color w:val="000000" w:themeColor="text1"/>
          <w:sz w:val="20"/>
          <w:szCs w:val="20"/>
        </w:rPr>
        <w:t>: p ≤ (p</w:t>
      </w:r>
      <w:r w:rsidRPr="00FB1858">
        <w:rPr>
          <w:color w:val="000000" w:themeColor="text1"/>
          <w:sz w:val="20"/>
          <w:szCs w:val="20"/>
          <w:vertAlign w:val="subscript"/>
        </w:rPr>
        <w:t xml:space="preserve">0 </w:t>
      </w:r>
      <w:r w:rsidRPr="00FB1858">
        <w:rPr>
          <w:color w:val="000000" w:themeColor="text1"/>
          <w:sz w:val="20"/>
          <w:szCs w:val="20"/>
        </w:rPr>
        <w:t xml:space="preserve">/ </w:t>
      </w:r>
      <w:proofErr w:type="spellStart"/>
      <w:r w:rsidRPr="00FB1858">
        <w:rPr>
          <w:color w:val="000000" w:themeColor="text1"/>
          <w:sz w:val="20"/>
          <w:szCs w:val="20"/>
        </w:rPr>
        <w:t>NIM</w:t>
      </w:r>
      <w:r w:rsidRPr="00FB1858">
        <w:rPr>
          <w:color w:val="000000" w:themeColor="text1"/>
          <w:sz w:val="20"/>
          <w:szCs w:val="20"/>
          <w:vertAlign w:val="subscript"/>
        </w:rPr>
        <w:t>as</w:t>
      </w:r>
      <w:proofErr w:type="spellEnd"/>
      <w:r w:rsidRPr="00FB1858">
        <w:rPr>
          <w:color w:val="000000" w:themeColor="text1"/>
          <w:sz w:val="20"/>
          <w:szCs w:val="20"/>
          <w:vertAlign w:val="subscript"/>
        </w:rPr>
        <w:t xml:space="preserve"> ratio</w:t>
      </w:r>
      <w:r w:rsidRPr="00FB1858">
        <w:rPr>
          <w:color w:val="000000" w:themeColor="text1"/>
          <w:sz w:val="20"/>
          <w:szCs w:val="20"/>
        </w:rPr>
        <w:t>) or H</w:t>
      </w:r>
      <w:r w:rsidRPr="00FB1858">
        <w:rPr>
          <w:color w:val="000000" w:themeColor="text1"/>
          <w:sz w:val="20"/>
          <w:szCs w:val="20"/>
          <w:vertAlign w:val="subscript"/>
        </w:rPr>
        <w:t>0</w:t>
      </w:r>
      <w:r w:rsidRPr="00FB1858">
        <w:rPr>
          <w:color w:val="000000" w:themeColor="text1"/>
          <w:sz w:val="20"/>
          <w:szCs w:val="20"/>
        </w:rPr>
        <w:t>: p ≤ (p</w:t>
      </w:r>
      <w:r w:rsidRPr="00FB1858">
        <w:rPr>
          <w:color w:val="000000" w:themeColor="text1"/>
          <w:sz w:val="20"/>
          <w:szCs w:val="20"/>
          <w:vertAlign w:val="subscript"/>
        </w:rPr>
        <w:t xml:space="preserve">0 </w:t>
      </w:r>
      <w:r w:rsidRPr="00FB1858">
        <w:rPr>
          <w:color w:val="000000" w:themeColor="text1"/>
          <w:sz w:val="20"/>
          <w:szCs w:val="20"/>
        </w:rPr>
        <w:t xml:space="preserve">- </w:t>
      </w:r>
      <w:proofErr w:type="spellStart"/>
      <w:r w:rsidRPr="00FB1858">
        <w:rPr>
          <w:color w:val="000000" w:themeColor="text1"/>
          <w:sz w:val="20"/>
          <w:szCs w:val="20"/>
        </w:rPr>
        <w:t>NIM</w:t>
      </w:r>
      <w:r w:rsidRPr="00FB1858">
        <w:rPr>
          <w:color w:val="000000" w:themeColor="text1"/>
          <w:sz w:val="20"/>
          <w:szCs w:val="20"/>
          <w:vertAlign w:val="subscript"/>
        </w:rPr>
        <w:t>as</w:t>
      </w:r>
      <w:proofErr w:type="spellEnd"/>
      <w:r w:rsidRPr="00FB1858">
        <w:rPr>
          <w:color w:val="000000" w:themeColor="text1"/>
          <w:sz w:val="20"/>
          <w:szCs w:val="20"/>
          <w:vertAlign w:val="subscript"/>
        </w:rPr>
        <w:t xml:space="preserve"> difference</w:t>
      </w:r>
      <w:r w:rsidRPr="00FB1858">
        <w:rPr>
          <w:color w:val="000000" w:themeColor="text1"/>
          <w:sz w:val="20"/>
          <w:szCs w:val="20"/>
        </w:rPr>
        <w:t>);</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(11)</w:t>
      </w:r>
    </w:p>
    <w:p w14:paraId="3A9E1264" w14:textId="15DFE84D" w:rsidR="002F06E6" w:rsidRPr="00FB1858" w:rsidRDefault="002F06E6" w:rsidP="00FB1858">
      <w:pPr>
        <w:spacing w:line="480" w:lineRule="auto"/>
        <w:ind w:firstLine="284"/>
        <w:textAlignment w:val="center"/>
        <w:rPr>
          <w:color w:val="000000" w:themeColor="text1"/>
          <w:sz w:val="20"/>
          <w:szCs w:val="20"/>
        </w:rPr>
      </w:pPr>
      <w:r w:rsidRPr="00FB1858">
        <w:rPr>
          <w:color w:val="000000" w:themeColor="text1"/>
          <w:sz w:val="20"/>
          <w:szCs w:val="20"/>
        </w:rPr>
        <w:t>H</w:t>
      </w:r>
      <w:r w:rsidRPr="00FB1858">
        <w:rPr>
          <w:color w:val="000000" w:themeColor="text1"/>
          <w:sz w:val="20"/>
          <w:szCs w:val="20"/>
          <w:vertAlign w:val="subscript"/>
        </w:rPr>
        <w:t>1</w:t>
      </w:r>
      <w:r w:rsidRPr="00FB1858">
        <w:rPr>
          <w:color w:val="000000" w:themeColor="text1"/>
          <w:sz w:val="20"/>
          <w:szCs w:val="20"/>
        </w:rPr>
        <w:t>: p &gt; (p</w:t>
      </w:r>
      <w:r w:rsidRPr="00FB1858">
        <w:rPr>
          <w:color w:val="000000" w:themeColor="text1"/>
          <w:sz w:val="20"/>
          <w:szCs w:val="20"/>
          <w:vertAlign w:val="subscript"/>
        </w:rPr>
        <w:t xml:space="preserve">0 </w:t>
      </w:r>
      <w:r w:rsidRPr="00FB1858">
        <w:rPr>
          <w:color w:val="000000" w:themeColor="text1"/>
          <w:sz w:val="20"/>
          <w:szCs w:val="20"/>
        </w:rPr>
        <w:t xml:space="preserve">/ </w:t>
      </w:r>
      <w:proofErr w:type="spellStart"/>
      <w:r w:rsidRPr="00FB1858">
        <w:rPr>
          <w:color w:val="000000" w:themeColor="text1"/>
          <w:sz w:val="20"/>
          <w:szCs w:val="20"/>
        </w:rPr>
        <w:t>NIM</w:t>
      </w:r>
      <w:r w:rsidRPr="00FB1858">
        <w:rPr>
          <w:color w:val="000000" w:themeColor="text1"/>
          <w:sz w:val="20"/>
          <w:szCs w:val="20"/>
          <w:vertAlign w:val="subscript"/>
        </w:rPr>
        <w:t>as</w:t>
      </w:r>
      <w:proofErr w:type="spellEnd"/>
      <w:r w:rsidRPr="00FB1858">
        <w:rPr>
          <w:color w:val="000000" w:themeColor="text1"/>
          <w:sz w:val="20"/>
          <w:szCs w:val="20"/>
          <w:vertAlign w:val="subscript"/>
        </w:rPr>
        <w:t xml:space="preserve"> ratio</w:t>
      </w:r>
      <w:r w:rsidRPr="00FB1858">
        <w:rPr>
          <w:color w:val="000000" w:themeColor="text1"/>
          <w:sz w:val="20"/>
          <w:szCs w:val="20"/>
        </w:rPr>
        <w:t>) or H</w:t>
      </w:r>
      <w:r w:rsidRPr="00FB1858">
        <w:rPr>
          <w:color w:val="000000" w:themeColor="text1"/>
          <w:sz w:val="20"/>
          <w:szCs w:val="20"/>
          <w:vertAlign w:val="subscript"/>
        </w:rPr>
        <w:t>0</w:t>
      </w:r>
      <w:r w:rsidRPr="00FB1858">
        <w:rPr>
          <w:color w:val="000000" w:themeColor="text1"/>
          <w:sz w:val="20"/>
          <w:szCs w:val="20"/>
        </w:rPr>
        <w:t>: p &gt; (p</w:t>
      </w:r>
      <w:r w:rsidRPr="00FB1858">
        <w:rPr>
          <w:color w:val="000000" w:themeColor="text1"/>
          <w:sz w:val="20"/>
          <w:szCs w:val="20"/>
          <w:vertAlign w:val="subscript"/>
        </w:rPr>
        <w:t xml:space="preserve">0 </w:t>
      </w:r>
      <w:r w:rsidRPr="00FB1858">
        <w:rPr>
          <w:color w:val="000000" w:themeColor="text1"/>
          <w:sz w:val="20"/>
          <w:szCs w:val="20"/>
        </w:rPr>
        <w:t xml:space="preserve">- </w:t>
      </w:r>
      <w:proofErr w:type="spellStart"/>
      <w:r w:rsidRPr="00FB1858">
        <w:rPr>
          <w:color w:val="000000" w:themeColor="text1"/>
          <w:sz w:val="20"/>
          <w:szCs w:val="20"/>
        </w:rPr>
        <w:t>NIM</w:t>
      </w:r>
      <w:r w:rsidRPr="00FB1858">
        <w:rPr>
          <w:color w:val="000000" w:themeColor="text1"/>
          <w:sz w:val="20"/>
          <w:szCs w:val="20"/>
          <w:vertAlign w:val="subscript"/>
        </w:rPr>
        <w:t>as</w:t>
      </w:r>
      <w:proofErr w:type="spellEnd"/>
      <w:r w:rsidRPr="00FB1858">
        <w:rPr>
          <w:color w:val="000000" w:themeColor="text1"/>
          <w:sz w:val="20"/>
          <w:szCs w:val="20"/>
          <w:vertAlign w:val="subscript"/>
        </w:rPr>
        <w:t xml:space="preserve"> difference</w:t>
      </w:r>
      <w:r w:rsidRPr="00FB1858">
        <w:rPr>
          <w:color w:val="000000" w:themeColor="text1"/>
          <w:sz w:val="20"/>
          <w:szCs w:val="20"/>
        </w:rPr>
        <w:t>);</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(12)</w:t>
      </w:r>
    </w:p>
    <w:p w14:paraId="48A429EE" w14:textId="0865C1A3" w:rsidR="006B107E"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Risk ratio is preferred because it is less affected than risk differences by variability in the event rates of the placebo group</w:t>
      </w:r>
      <w:r w:rsidR="006B107E"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{"citationID":"Yd3EADcR","properties":{"formattedCitation":"\\super 3\\nosupersub{}","plainCitation":"3","noteIndex":0},"citationItems":[{"id":1029,"uris":["http://zotero.org/users/921050/items/UPD9GIV8"],"uri":["http://zotero.org/users/921050/items/UPD9GIV8"],"itemData":{"id":1029,"type":"webpage","title":"Non-Inferiority Clinical Trials to Establish Effectiveness. Guidance for Industry.","container-title":"https://www.fda.gov/downloads/Drugs/Guidances/UCM202140.pdf","language":"English","author":[{"literal":"U.S. Department of Health and Human Services Food and Drug Administration"},{"literal":"Center for Drug Evaluation and Research (CDER)"},{"literal":"Center for Biologics Evaluation and Research (CBER)"}],"issued":{"date-parts":[["2016",11]]}}}],"schema":"https://github.com/citation-style-language/schema/raw/master/csl-citation.json"}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3</w:t>
      </w:r>
      <w:r w:rsidRPr="00FB1858">
        <w:rPr>
          <w:color w:val="000000" w:themeColor="text1"/>
          <w:sz w:val="20"/>
          <w:szCs w:val="20"/>
        </w:rPr>
        <w:fldChar w:fldCharType="end"/>
      </w:r>
    </w:p>
    <w:p w14:paraId="39BC8CF0" w14:textId="77777777" w:rsidR="002F06E6" w:rsidRPr="00FB1858" w:rsidRDefault="002F06E6" w:rsidP="00FB1858">
      <w:pPr>
        <w:spacing w:line="480" w:lineRule="auto"/>
        <w:textAlignment w:val="center"/>
        <w:rPr>
          <w:color w:val="000000" w:themeColor="text1"/>
          <w:sz w:val="20"/>
          <w:szCs w:val="20"/>
        </w:rPr>
      </w:pPr>
    </w:p>
    <w:p w14:paraId="144082AE" w14:textId="77777777" w:rsidR="00E976D2" w:rsidRPr="00FB1858" w:rsidRDefault="00E976D2" w:rsidP="00FB1858">
      <w:pPr>
        <w:pStyle w:val="NormalWeb"/>
        <w:numPr>
          <w:ilvl w:val="0"/>
          <w:numId w:val="7"/>
        </w:numPr>
        <w:shd w:val="clear" w:color="auto" w:fill="FFFFFF"/>
        <w:spacing w:before="0" w:beforeAutospacing="0" w:after="0" w:afterAutospacing="0" w:line="480" w:lineRule="auto"/>
        <w:jc w:val="left"/>
        <w:outlineLvl w:val="0"/>
        <w:rPr>
          <w:b/>
          <w:color w:val="000000" w:themeColor="text1"/>
          <w:sz w:val="20"/>
          <w:szCs w:val="20"/>
        </w:rPr>
      </w:pPr>
      <w:r w:rsidRPr="00FB1858">
        <w:rPr>
          <w:b/>
          <w:color w:val="000000" w:themeColor="text1"/>
          <w:sz w:val="20"/>
          <w:szCs w:val="20"/>
        </w:rPr>
        <w:t>Switching between superiority to NI analysis in a single-arm design</w:t>
      </w:r>
    </w:p>
    <w:p w14:paraId="34C8D326" w14:textId="44A7BE7C" w:rsidR="002F06E6" w:rsidRPr="00FB1858" w:rsidRDefault="00E976D2" w:rsidP="00FB1858">
      <w:pPr>
        <w:tabs>
          <w:tab w:val="left" w:pos="3700"/>
        </w:tabs>
        <w:spacing w:line="480" w:lineRule="auto"/>
        <w:rPr>
          <w:color w:val="000000" w:themeColor="text1"/>
          <w:sz w:val="20"/>
          <w:szCs w:val="20"/>
        </w:rPr>
      </w:pPr>
      <w:r w:rsidRPr="00FB1858">
        <w:rPr>
          <w:color w:val="000000" w:themeColor="text1"/>
          <w:sz w:val="20"/>
          <w:szCs w:val="20"/>
        </w:rPr>
        <w:lastRenderedPageBreak/>
        <w:t xml:space="preserve">In a superiority analysis design </w:t>
      </w:r>
      <w:bookmarkStart w:id="0" w:name="_Hlk531252087"/>
      <w:r w:rsidRPr="00FB1858">
        <w:rPr>
          <w:color w:val="000000" w:themeColor="text1"/>
          <w:sz w:val="20"/>
          <w:szCs w:val="20"/>
        </w:rPr>
        <w:t>with tumor response as the primary endpoint</w:t>
      </w:r>
      <w:bookmarkEnd w:id="0"/>
      <w:r w:rsidRPr="00FB1858">
        <w:rPr>
          <w:color w:val="000000" w:themeColor="text1"/>
          <w:sz w:val="20"/>
          <w:szCs w:val="20"/>
        </w:rPr>
        <w:t>,</w:t>
      </w:r>
      <w:r w:rsidR="002F06E6" w:rsidRPr="00FB1858">
        <w:rPr>
          <w:color w:val="000000" w:themeColor="text1"/>
          <w:sz w:val="20"/>
          <w:szCs w:val="20"/>
        </w:rPr>
        <w:t>, switching for NI analysis does not inflate type I error rate when NI analysis and NIM are properly pre-specified</w:t>
      </w:r>
      <w:r w:rsidR="00AD1141" w:rsidRPr="00FB1858">
        <w:rPr>
          <w:color w:val="000000" w:themeColor="text1"/>
          <w:sz w:val="20"/>
          <w:szCs w:val="20"/>
        </w:rPr>
        <w:t>.</w:t>
      </w:r>
      <w:r w:rsidR="002F06E6"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{"citationID":"wwzyaaWP","properties":{"formattedCitation":"\\super 4\\nosupersub{}","plainCitation":"4","noteIndex":0},"citationItems":[{"id":1030,"uris":["http://zotero.org/users/921050/items/8TGVXZBH"],"uri":["http://zotero.org/users/921050/items/8TGVXZBH"],"itemData":{"id":1030,"type":"webpage","title":"Points to consider on switching between superiority and non-inferiority.","container-title":"http://www.ema.europa.eu/docs/en_GB/document_library/Scientific_guideline/2009/09/WC500003658.pdf","note":"CPMP/EWP/482/99","author":[{"literal":"Committee For Proprietary medicinal products (CPMP)"},{"literal":"The European Agency for the Evaluation of Medicinal Products"}],"issued":{"date-parts":[["2000",7,27]]}}}],"schema":"https://github.com/citation-style-language/schema/raw/master/csl-citation.json"} </w:instrText>
      </w:r>
      <w:r w:rsidR="002F06E6" w:rsidRPr="00FB1858">
        <w:rPr>
          <w:color w:val="000000" w:themeColor="text1"/>
          <w:sz w:val="20"/>
          <w:szCs w:val="20"/>
        </w:rPr>
        <w:fldChar w:fldCharType="separate"/>
      </w:r>
      <w:r w:rsidR="006B107E" w:rsidRPr="00FB1858">
        <w:rPr>
          <w:color w:val="000000" w:themeColor="text1"/>
          <w:sz w:val="20"/>
          <w:szCs w:val="20"/>
          <w:vertAlign w:val="superscript"/>
        </w:rPr>
        <w:t>4</w:t>
      </w:r>
      <w:r w:rsidR="002F06E6" w:rsidRPr="00FB1858">
        <w:rPr>
          <w:color w:val="000000" w:themeColor="text1"/>
          <w:sz w:val="20"/>
          <w:szCs w:val="20"/>
        </w:rPr>
        <w:fldChar w:fldCharType="end"/>
      </w:r>
      <w:r w:rsidR="002F06E6" w:rsidRPr="00FB1858">
        <w:rPr>
          <w:color w:val="000000" w:themeColor="text1"/>
          <w:sz w:val="20"/>
          <w:szCs w:val="20"/>
        </w:rPr>
        <w:t xml:space="preserve"> Therefore, we can switch to NI analysis if the superiority criteria cannot be met. We assumed the same number of patients as superiority analysis (n); and “a</w:t>
      </w:r>
      <w:r w:rsidR="002F06E6" w:rsidRPr="00FB1858">
        <w:rPr>
          <w:color w:val="000000" w:themeColor="text1"/>
          <w:sz w:val="20"/>
          <w:szCs w:val="20"/>
          <w:vertAlign w:val="subscript"/>
        </w:rPr>
        <w:t>ni</w:t>
      </w:r>
      <w:r w:rsidR="002F06E6" w:rsidRPr="00FB1858">
        <w:rPr>
          <w:color w:val="000000" w:themeColor="text1"/>
          <w:sz w:val="20"/>
          <w:szCs w:val="20"/>
        </w:rPr>
        <w:t>” (number of responding patients in NI analysis) is chosen as the highest integer satisfying the type I error rate in NI analysis (α</w:t>
      </w:r>
      <w:proofErr w:type="spellStart"/>
      <w:r w:rsidR="002F06E6" w:rsidRPr="00FB1858">
        <w:rPr>
          <w:color w:val="000000" w:themeColor="text1"/>
          <w:sz w:val="20"/>
          <w:szCs w:val="20"/>
          <w:vertAlign w:val="subscript"/>
        </w:rPr>
        <w:t>ni</w:t>
      </w:r>
      <w:proofErr w:type="spellEnd"/>
      <w:r w:rsidR="002F06E6" w:rsidRPr="00FB1858">
        <w:rPr>
          <w:color w:val="000000" w:themeColor="text1"/>
          <w:sz w:val="20"/>
          <w:szCs w:val="20"/>
        </w:rPr>
        <w:t xml:space="preserve">) ≤ α.  </w:t>
      </w:r>
    </w:p>
    <w:p w14:paraId="175939FD" w14:textId="75B165F5" w:rsidR="002F06E6" w:rsidRPr="00FB1858" w:rsidRDefault="002F06E6" w:rsidP="00FB1858">
      <w:pPr>
        <w:spacing w:line="480" w:lineRule="auto"/>
        <w:ind w:firstLine="284"/>
        <w:outlineLvl w:val="0"/>
        <w:rPr>
          <w:color w:val="000000" w:themeColor="text1"/>
          <w:sz w:val="20"/>
          <w:szCs w:val="20"/>
        </w:rPr>
      </w:pPr>
      <w:proofErr w:type="gramStart"/>
      <w:r w:rsidRPr="00FB1858">
        <w:rPr>
          <w:color w:val="000000" w:themeColor="text1"/>
          <w:sz w:val="20"/>
          <w:szCs w:val="20"/>
        </w:rPr>
        <w:t>B(</w:t>
      </w:r>
      <w:proofErr w:type="spellStart"/>
      <w:proofErr w:type="gramEnd"/>
      <w:r w:rsidRPr="00FB1858">
        <w:rPr>
          <w:color w:val="000000" w:themeColor="text1"/>
          <w:sz w:val="20"/>
          <w:szCs w:val="20"/>
        </w:rPr>
        <w:t>a</w:t>
      </w:r>
      <w:r w:rsidRPr="00FB1858">
        <w:rPr>
          <w:color w:val="000000" w:themeColor="text1"/>
          <w:sz w:val="20"/>
          <w:szCs w:val="20"/>
          <w:vertAlign w:val="subscript"/>
        </w:rPr>
        <w:t>ni</w:t>
      </w:r>
      <w:r w:rsidRPr="00FB1858">
        <w:rPr>
          <w:color w:val="000000" w:themeColor="text1"/>
          <w:sz w:val="20"/>
          <w:szCs w:val="20"/>
        </w:rPr>
        <w:t>|n</w:t>
      </w:r>
      <w:proofErr w:type="spellEnd"/>
      <w:r w:rsidRPr="00FB1858">
        <w:rPr>
          <w:color w:val="000000" w:themeColor="text1"/>
          <w:sz w:val="20"/>
          <w:szCs w:val="20"/>
        </w:rPr>
        <w:t>, p</w:t>
      </w:r>
      <w:r w:rsidRPr="00FB1858">
        <w:rPr>
          <w:color w:val="000000" w:themeColor="text1"/>
          <w:sz w:val="20"/>
          <w:szCs w:val="20"/>
          <w:vertAlign w:val="subscript"/>
        </w:rPr>
        <w:t xml:space="preserve">0 </w:t>
      </w:r>
      <w:r w:rsidRPr="00FB1858">
        <w:rPr>
          <w:color w:val="000000" w:themeColor="text1"/>
          <w:sz w:val="20"/>
          <w:szCs w:val="20"/>
        </w:rPr>
        <w:t>/ NIM) ≥ 1- α</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(13)</w:t>
      </w:r>
    </w:p>
    <w:p w14:paraId="49F875A6" w14:textId="270EE3C9" w:rsidR="00AD1141" w:rsidRPr="00FB1858" w:rsidRDefault="002F06E6" w:rsidP="00FB1858">
      <w:pPr>
        <w:spacing w:line="480" w:lineRule="auto"/>
        <w:rPr>
          <w:color w:val="000000" w:themeColor="text1"/>
          <w:sz w:val="20"/>
          <w:szCs w:val="20"/>
        </w:rPr>
      </w:pPr>
      <w:r w:rsidRPr="00FB1858">
        <w:rPr>
          <w:color w:val="000000" w:themeColor="text1"/>
          <w:sz w:val="20"/>
          <w:szCs w:val="20"/>
        </w:rPr>
        <w:t>The power should be calculated as:</w:t>
      </w:r>
    </w:p>
    <w:p w14:paraId="3E50AAB6" w14:textId="37E7A521" w:rsidR="002F06E6" w:rsidRPr="00FB1858" w:rsidRDefault="002F06E6" w:rsidP="00FB1858">
      <w:pPr>
        <w:spacing w:line="480" w:lineRule="auto"/>
        <w:ind w:firstLine="284"/>
        <w:rPr>
          <w:color w:val="000000" w:themeColor="text1"/>
          <w:sz w:val="20"/>
          <w:szCs w:val="20"/>
        </w:rPr>
      </w:pPr>
      <w:r w:rsidRPr="00FB1858">
        <w:rPr>
          <w:color w:val="000000" w:themeColor="text1"/>
          <w:sz w:val="20"/>
          <w:szCs w:val="20"/>
        </w:rPr>
        <w:t>1 - β</w:t>
      </w:r>
      <w:proofErr w:type="spellStart"/>
      <w:r w:rsidRPr="00FB1858">
        <w:rPr>
          <w:color w:val="000000" w:themeColor="text1"/>
          <w:sz w:val="20"/>
          <w:szCs w:val="20"/>
          <w:vertAlign w:val="subscript"/>
        </w:rPr>
        <w:t>ni</w:t>
      </w:r>
      <w:proofErr w:type="spellEnd"/>
      <w:r w:rsidRPr="00FB1858">
        <w:rPr>
          <w:color w:val="000000" w:themeColor="text1"/>
          <w:sz w:val="20"/>
          <w:szCs w:val="20"/>
        </w:rPr>
        <w:t xml:space="preserve"> = </w:t>
      </w:r>
      <w:proofErr w:type="gramStart"/>
      <w:r w:rsidRPr="00FB1858">
        <w:rPr>
          <w:color w:val="000000" w:themeColor="text1"/>
          <w:sz w:val="20"/>
          <w:szCs w:val="20"/>
        </w:rPr>
        <w:t>B(</w:t>
      </w:r>
      <w:proofErr w:type="gramEnd"/>
      <w:r w:rsidRPr="00FB1858">
        <w:rPr>
          <w:color w:val="000000" w:themeColor="text1"/>
          <w:sz w:val="20"/>
          <w:szCs w:val="20"/>
        </w:rPr>
        <w:t>a</w:t>
      </w:r>
      <w:r w:rsidRPr="00FB1858">
        <w:rPr>
          <w:color w:val="000000" w:themeColor="text1"/>
          <w:sz w:val="20"/>
          <w:szCs w:val="20"/>
          <w:vertAlign w:val="subscript"/>
        </w:rPr>
        <w:t>ni</w:t>
      </w:r>
      <w:r w:rsidRPr="00FB1858">
        <w:rPr>
          <w:color w:val="000000" w:themeColor="text1"/>
          <w:sz w:val="20"/>
          <w:szCs w:val="20"/>
        </w:rPr>
        <w:t xml:space="preserve"> -1|n, p</w:t>
      </w:r>
      <w:r w:rsidRPr="00FB1858">
        <w:rPr>
          <w:color w:val="000000" w:themeColor="text1"/>
          <w:sz w:val="20"/>
          <w:szCs w:val="20"/>
          <w:vertAlign w:val="subscript"/>
        </w:rPr>
        <w:t>0</w:t>
      </w:r>
      <w:r w:rsidRPr="00FB1858">
        <w:rPr>
          <w:color w:val="000000" w:themeColor="text1"/>
          <w:sz w:val="20"/>
          <w:szCs w:val="20"/>
        </w:rPr>
        <w:t>/NIM)</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(14)</w:t>
      </w:r>
    </w:p>
    <w:p w14:paraId="37B1D4B2" w14:textId="77777777" w:rsidR="002F06E6" w:rsidRPr="00FB1858" w:rsidRDefault="002F06E6" w:rsidP="00FB1858">
      <w:pPr>
        <w:spacing w:line="480" w:lineRule="auto"/>
        <w:rPr>
          <w:color w:val="000000" w:themeColor="text1"/>
          <w:sz w:val="20"/>
          <w:szCs w:val="20"/>
        </w:rPr>
      </w:pPr>
      <w:r w:rsidRPr="00FB1858">
        <w:rPr>
          <w:color w:val="000000" w:themeColor="text1"/>
          <w:sz w:val="20"/>
          <w:szCs w:val="20"/>
        </w:rPr>
        <w:t>where</w:t>
      </w:r>
    </w:p>
    <w:p w14:paraId="3C397C91" w14:textId="419CC576" w:rsidR="002F06E6" w:rsidRPr="00FB1858" w:rsidRDefault="002F06E6" w:rsidP="00FB1858">
      <w:pPr>
        <w:spacing w:line="480" w:lineRule="auto"/>
        <w:rPr>
          <w:color w:val="000000" w:themeColor="text1"/>
          <w:sz w:val="20"/>
          <w:szCs w:val="20"/>
        </w:rPr>
      </w:pPr>
      <w:r w:rsidRPr="00FB1858">
        <w:rPr>
          <w:color w:val="000000" w:themeColor="text1"/>
          <w:sz w:val="20"/>
          <w:szCs w:val="20"/>
        </w:rPr>
        <w:t>a</w:t>
      </w:r>
      <w:r w:rsidRPr="00FB1858">
        <w:rPr>
          <w:color w:val="000000" w:themeColor="text1"/>
          <w:sz w:val="20"/>
          <w:szCs w:val="20"/>
          <w:vertAlign w:val="subscript"/>
        </w:rPr>
        <w:t>ni</w:t>
      </w:r>
      <w:r w:rsidRPr="00FB1858">
        <w:rPr>
          <w:color w:val="000000" w:themeColor="text1"/>
          <w:sz w:val="20"/>
          <w:szCs w:val="20"/>
        </w:rPr>
        <w:t xml:space="preserve"> ≤ a; 1 - β ≤ 1 - β</w:t>
      </w:r>
      <w:proofErr w:type="spellStart"/>
      <w:r w:rsidRPr="00FB1858">
        <w:rPr>
          <w:color w:val="000000" w:themeColor="text1"/>
          <w:sz w:val="20"/>
          <w:szCs w:val="20"/>
          <w:vertAlign w:val="subscript"/>
        </w:rPr>
        <w:t>ni</w:t>
      </w:r>
      <w:proofErr w:type="spellEnd"/>
      <w:r w:rsidRPr="00FB1858">
        <w:rPr>
          <w:color w:val="000000" w:themeColor="text1"/>
          <w:sz w:val="20"/>
          <w:szCs w:val="20"/>
        </w:rPr>
        <w:t>.</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(15)</w:t>
      </w:r>
    </w:p>
    <w:p w14:paraId="046CA098" w14:textId="77777777" w:rsidR="002F06E6" w:rsidRPr="00FB1858" w:rsidRDefault="002F06E6" w:rsidP="00FB1858">
      <w:pPr>
        <w:spacing w:line="480" w:lineRule="auto"/>
        <w:rPr>
          <w:color w:val="000000" w:themeColor="text1"/>
          <w:sz w:val="20"/>
          <w:szCs w:val="20"/>
        </w:rPr>
      </w:pPr>
      <w:r w:rsidRPr="00FB1858">
        <w:rPr>
          <w:color w:val="000000" w:themeColor="text1"/>
          <w:sz w:val="20"/>
          <w:szCs w:val="20"/>
        </w:rPr>
        <w:t>Accordingly, the study achieves a positive finding when “p” is equal to or higher than “p</w:t>
      </w:r>
      <w:r w:rsidRPr="00FB1858">
        <w:rPr>
          <w:color w:val="000000" w:themeColor="text1"/>
          <w:sz w:val="20"/>
          <w:szCs w:val="20"/>
          <w:vertAlign w:val="subscript"/>
        </w:rPr>
        <w:t xml:space="preserve">0 </w:t>
      </w:r>
      <w:r w:rsidRPr="00FB1858">
        <w:rPr>
          <w:color w:val="000000" w:themeColor="text1"/>
          <w:sz w:val="20"/>
          <w:szCs w:val="20"/>
        </w:rPr>
        <w:t>/ NIM” and significance levels evaluated by binomial test in NI analysis are ≤ α. As the NI analysis has the same expected accrual and lower or equal number of responders needed to declare significance than superiority analysis (a</w:t>
      </w:r>
      <w:r w:rsidRPr="00FB1858">
        <w:rPr>
          <w:color w:val="000000" w:themeColor="text1"/>
          <w:sz w:val="20"/>
          <w:szCs w:val="20"/>
          <w:vertAlign w:val="subscript"/>
        </w:rPr>
        <w:t>ni</w:t>
      </w:r>
      <w:r w:rsidRPr="00FB1858">
        <w:rPr>
          <w:color w:val="000000" w:themeColor="text1"/>
          <w:sz w:val="20"/>
          <w:szCs w:val="20"/>
        </w:rPr>
        <w:t xml:space="preserve"> ≤ a), power always will be equal or greater in NI than superiority criteria. Thus, this design can assess superiority and NI criteria with the same sample size, type I and type II error rates used in the superiority strategy. Thus, this design evaluates superiority and NI criteria with the same sample size and type I and type II error rates used in the superiority strategy. </w:t>
      </w:r>
    </w:p>
    <w:p w14:paraId="5659997F" w14:textId="77777777" w:rsidR="002F06E6" w:rsidRPr="00FB1858" w:rsidRDefault="002F06E6" w:rsidP="00FB1858">
      <w:pPr>
        <w:pStyle w:val="NormalWeb"/>
        <w:shd w:val="clear" w:color="auto" w:fill="FFFFFF"/>
        <w:spacing w:before="0" w:beforeAutospacing="0" w:after="0" w:afterAutospacing="0" w:line="480" w:lineRule="auto"/>
        <w:jc w:val="left"/>
        <w:rPr>
          <w:b/>
          <w:color w:val="000000" w:themeColor="text1"/>
          <w:sz w:val="20"/>
          <w:szCs w:val="20"/>
        </w:rPr>
      </w:pPr>
    </w:p>
    <w:p w14:paraId="46627268" w14:textId="77777777" w:rsidR="002F06E6" w:rsidRPr="00FB1858" w:rsidRDefault="002F06E6" w:rsidP="00FB1858">
      <w:pPr>
        <w:pStyle w:val="NormalWeb"/>
        <w:numPr>
          <w:ilvl w:val="0"/>
          <w:numId w:val="7"/>
        </w:numPr>
        <w:shd w:val="clear" w:color="auto" w:fill="FFFFFF"/>
        <w:spacing w:before="0" w:beforeAutospacing="0" w:after="0" w:afterAutospacing="0" w:line="480" w:lineRule="auto"/>
        <w:jc w:val="left"/>
        <w:outlineLvl w:val="0"/>
        <w:rPr>
          <w:b/>
          <w:color w:val="000000" w:themeColor="text1"/>
          <w:sz w:val="20"/>
          <w:szCs w:val="20"/>
        </w:rPr>
      </w:pPr>
      <w:r w:rsidRPr="00FB1858">
        <w:rPr>
          <w:b/>
          <w:color w:val="000000" w:themeColor="text1"/>
          <w:sz w:val="20"/>
          <w:szCs w:val="20"/>
        </w:rPr>
        <w:t>Two-stage design</w:t>
      </w:r>
    </w:p>
    <w:p w14:paraId="6BB798BA" w14:textId="014569DE" w:rsidR="00AD1141"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A two-stage design is defined by the number of patients to be treated during stages one and two (M = 1 and M = 2), n</w:t>
      </w:r>
      <w:r w:rsidRPr="00FB1858">
        <w:rPr>
          <w:color w:val="000000" w:themeColor="text1"/>
          <w:sz w:val="20"/>
          <w:szCs w:val="20"/>
          <w:vertAlign w:val="subscript"/>
        </w:rPr>
        <w:t>1</w:t>
      </w:r>
      <w:r w:rsidRPr="00FB1858">
        <w:rPr>
          <w:color w:val="000000" w:themeColor="text1"/>
          <w:sz w:val="20"/>
          <w:szCs w:val="20"/>
        </w:rPr>
        <w:t xml:space="preserve"> and n</w:t>
      </w:r>
      <w:r w:rsidRPr="00FB1858">
        <w:rPr>
          <w:color w:val="000000" w:themeColor="text1"/>
          <w:sz w:val="20"/>
          <w:szCs w:val="20"/>
          <w:vertAlign w:val="subscript"/>
        </w:rPr>
        <w:t>2</w:t>
      </w:r>
      <w:r w:rsidRPr="00FB1858">
        <w:rPr>
          <w:color w:val="000000" w:themeColor="text1"/>
          <w:sz w:val="20"/>
          <w:szCs w:val="20"/>
        </w:rPr>
        <w:t>; the expected number of patients to accept (≤a</w:t>
      </w:r>
      <w:r w:rsidRPr="00FB1858">
        <w:rPr>
          <w:color w:val="000000" w:themeColor="text1"/>
          <w:sz w:val="20"/>
          <w:szCs w:val="20"/>
          <w:vertAlign w:val="subscript"/>
        </w:rPr>
        <w:t>1</w:t>
      </w:r>
      <w:r w:rsidRPr="00FB1858">
        <w:rPr>
          <w:color w:val="000000" w:themeColor="text1"/>
          <w:sz w:val="20"/>
          <w:szCs w:val="20"/>
        </w:rPr>
        <w:t>) or reject (≥b</w:t>
      </w:r>
      <w:r w:rsidRPr="00FB1858">
        <w:rPr>
          <w:color w:val="000000" w:themeColor="text1"/>
          <w:sz w:val="20"/>
          <w:szCs w:val="20"/>
          <w:vertAlign w:val="subscript"/>
        </w:rPr>
        <w:t>1</w:t>
      </w:r>
      <w:r w:rsidRPr="00FB1858">
        <w:rPr>
          <w:color w:val="000000" w:themeColor="text1"/>
          <w:sz w:val="20"/>
          <w:szCs w:val="20"/>
        </w:rPr>
        <w:t>) null hypothesis at stage one and the expected number of patients to declare superiority at final analysis (&gt;a), where (a</w:t>
      </w:r>
      <w:r w:rsidRPr="00FB1858">
        <w:rPr>
          <w:color w:val="000000" w:themeColor="text1"/>
          <w:sz w:val="20"/>
          <w:szCs w:val="20"/>
          <w:vertAlign w:val="subscript"/>
        </w:rPr>
        <w:t>1</w:t>
      </w:r>
      <w:r w:rsidRPr="00FB1858">
        <w:rPr>
          <w:color w:val="000000" w:themeColor="text1"/>
          <w:sz w:val="20"/>
          <w:szCs w:val="20"/>
        </w:rPr>
        <w:t xml:space="preserve"> &lt;b</w:t>
      </w:r>
      <w:r w:rsidRPr="00FB1858">
        <w:rPr>
          <w:color w:val="000000" w:themeColor="text1"/>
          <w:sz w:val="20"/>
          <w:szCs w:val="20"/>
          <w:vertAlign w:val="subscript"/>
        </w:rPr>
        <w:t>1</w:t>
      </w:r>
      <w:r w:rsidRPr="00FB1858">
        <w:rPr>
          <w:color w:val="000000" w:themeColor="text1"/>
          <w:sz w:val="20"/>
          <w:szCs w:val="20"/>
        </w:rPr>
        <w:t xml:space="preserve"> &lt; a). So, we specify them by:</w:t>
      </w:r>
    </w:p>
    <w:p w14:paraId="2AB94DD6" w14:textId="47934021" w:rsidR="002F06E6" w:rsidRPr="00FB1858" w:rsidRDefault="002F06E6" w:rsidP="00FB1858">
      <w:pPr>
        <w:tabs>
          <w:tab w:val="left" w:pos="3700"/>
        </w:tabs>
        <w:spacing w:line="480" w:lineRule="auto"/>
        <w:ind w:firstLine="284"/>
        <w:outlineLvl w:val="0"/>
        <w:rPr>
          <w:color w:val="000000" w:themeColor="text1"/>
          <w:sz w:val="20"/>
          <w:szCs w:val="20"/>
        </w:rPr>
      </w:pPr>
      <w:r w:rsidRPr="00FB1858">
        <w:rPr>
          <w:color w:val="000000" w:themeColor="text1"/>
          <w:sz w:val="20"/>
          <w:szCs w:val="20"/>
        </w:rPr>
        <w:t>[(a</w:t>
      </w:r>
      <w:proofErr w:type="gramStart"/>
      <w:r w:rsidRPr="00FB1858">
        <w:rPr>
          <w:color w:val="000000" w:themeColor="text1"/>
          <w:sz w:val="20"/>
          <w:szCs w:val="20"/>
          <w:vertAlign w:val="subscript"/>
        </w:rPr>
        <w:t>1</w:t>
      </w:r>
      <w:r w:rsidRPr="00FB1858">
        <w:rPr>
          <w:color w:val="000000" w:themeColor="text1"/>
          <w:sz w:val="20"/>
          <w:szCs w:val="20"/>
        </w:rPr>
        <w:t>,b</w:t>
      </w:r>
      <w:proofErr w:type="gramEnd"/>
      <w:r w:rsidRPr="00FB1858">
        <w:rPr>
          <w:color w:val="000000" w:themeColor="text1"/>
          <w:sz w:val="20"/>
          <w:szCs w:val="20"/>
          <w:vertAlign w:val="subscript"/>
        </w:rPr>
        <w:t>1</w:t>
      </w:r>
      <w:r w:rsidRPr="00FB1858">
        <w:rPr>
          <w:color w:val="000000" w:themeColor="text1"/>
          <w:sz w:val="20"/>
          <w:szCs w:val="20"/>
        </w:rPr>
        <w:t>) / n</w:t>
      </w:r>
      <w:r w:rsidRPr="00FB1858">
        <w:rPr>
          <w:color w:val="000000" w:themeColor="text1"/>
          <w:sz w:val="20"/>
          <w:szCs w:val="20"/>
          <w:vertAlign w:val="subscript"/>
        </w:rPr>
        <w:t>1</w:t>
      </w:r>
      <w:r w:rsidRPr="00FB1858">
        <w:rPr>
          <w:color w:val="000000" w:themeColor="text1"/>
          <w:sz w:val="20"/>
          <w:szCs w:val="20"/>
        </w:rPr>
        <w:t>, a / n],</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(16)</w:t>
      </w:r>
    </w:p>
    <w:p w14:paraId="21EBC21E" w14:textId="6AA8F482"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where n= n</w:t>
      </w:r>
      <w:r w:rsidRPr="00FB1858">
        <w:rPr>
          <w:color w:val="000000" w:themeColor="text1"/>
          <w:sz w:val="20"/>
          <w:szCs w:val="20"/>
          <w:vertAlign w:val="subscript"/>
        </w:rPr>
        <w:t>1</w:t>
      </w:r>
      <w:r w:rsidRPr="00FB1858">
        <w:rPr>
          <w:color w:val="000000" w:themeColor="text1"/>
          <w:sz w:val="20"/>
          <w:szCs w:val="20"/>
        </w:rPr>
        <w:t xml:space="preserve"> + n</w:t>
      </w:r>
      <w:r w:rsidRPr="00FB1858">
        <w:rPr>
          <w:color w:val="000000" w:themeColor="text1"/>
          <w:sz w:val="20"/>
          <w:szCs w:val="20"/>
          <w:vertAlign w:val="subscript"/>
        </w:rPr>
        <w:t>2</w:t>
      </w:r>
      <w:r w:rsidRPr="00FB1858">
        <w:rPr>
          <w:color w:val="000000" w:themeColor="text1"/>
          <w:sz w:val="20"/>
          <w:szCs w:val="20"/>
        </w:rPr>
        <w:t xml:space="preserve"> is the maximal sample size. The values of [(a</w:t>
      </w:r>
      <w:r w:rsidRPr="00FB1858">
        <w:rPr>
          <w:color w:val="000000" w:themeColor="text1"/>
          <w:sz w:val="20"/>
          <w:szCs w:val="20"/>
          <w:vertAlign w:val="subscript"/>
        </w:rPr>
        <w:t>1</w:t>
      </w:r>
      <w:r w:rsidRPr="00FB1858">
        <w:rPr>
          <w:color w:val="000000" w:themeColor="text1"/>
          <w:sz w:val="20"/>
          <w:szCs w:val="20"/>
        </w:rPr>
        <w:t>,b</w:t>
      </w:r>
      <w:r w:rsidRPr="00FB1858">
        <w:rPr>
          <w:color w:val="000000" w:themeColor="text1"/>
          <w:sz w:val="20"/>
          <w:szCs w:val="20"/>
          <w:vertAlign w:val="subscript"/>
        </w:rPr>
        <w:t>1</w:t>
      </w:r>
      <w:r w:rsidRPr="00FB1858">
        <w:rPr>
          <w:color w:val="000000" w:themeColor="text1"/>
          <w:sz w:val="20"/>
          <w:szCs w:val="20"/>
        </w:rPr>
        <w:t>) / n</w:t>
      </w:r>
      <w:r w:rsidRPr="00FB1858">
        <w:rPr>
          <w:color w:val="000000" w:themeColor="text1"/>
          <w:sz w:val="20"/>
          <w:szCs w:val="20"/>
          <w:vertAlign w:val="subscript"/>
        </w:rPr>
        <w:t>1</w:t>
      </w:r>
      <w:r w:rsidRPr="00FB1858">
        <w:rPr>
          <w:color w:val="000000" w:themeColor="text1"/>
          <w:sz w:val="20"/>
          <w:szCs w:val="20"/>
        </w:rPr>
        <w:t>, a / n] were determined based on pre-specified design parameters (p</w:t>
      </w:r>
      <w:r w:rsidRPr="00FB1858">
        <w:rPr>
          <w:color w:val="000000" w:themeColor="text1"/>
          <w:sz w:val="20"/>
          <w:szCs w:val="20"/>
          <w:vertAlign w:val="subscript"/>
        </w:rPr>
        <w:t>0</w:t>
      </w:r>
      <w:r w:rsidRPr="00FB1858">
        <w:rPr>
          <w:color w:val="000000" w:themeColor="text1"/>
          <w:sz w:val="20"/>
          <w:szCs w:val="20"/>
        </w:rPr>
        <w:t>, p</w:t>
      </w:r>
      <w:r w:rsidRPr="00FB1858">
        <w:rPr>
          <w:color w:val="000000" w:themeColor="text1"/>
          <w:sz w:val="20"/>
          <w:szCs w:val="20"/>
          <w:vertAlign w:val="subscript"/>
        </w:rPr>
        <w:t>1</w:t>
      </w:r>
      <w:r w:rsidRPr="00FB1858">
        <w:rPr>
          <w:color w:val="000000" w:themeColor="text1"/>
          <w:sz w:val="20"/>
          <w:szCs w:val="20"/>
        </w:rPr>
        <w:t>, α</w:t>
      </w:r>
      <w:r w:rsidRPr="00FB1858">
        <w:rPr>
          <w:color w:val="000000" w:themeColor="text1"/>
          <w:sz w:val="20"/>
          <w:szCs w:val="20"/>
          <w:vertAlign w:val="subscript"/>
        </w:rPr>
        <w:t>1</w:t>
      </w:r>
      <w:r w:rsidRPr="00FB1858">
        <w:rPr>
          <w:color w:val="000000" w:themeColor="text1"/>
          <w:sz w:val="20"/>
          <w:szCs w:val="20"/>
        </w:rPr>
        <w:t>, 1-β) as in single-stage design cases</w:t>
      </w:r>
      <w:r w:rsidR="006B107E"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{"citationID":"43hb5f71c","properties":{"formattedCitation":"\\super 2\\nosupersub{}","plainCitation":"2","noteIndex":0},"citationItems":[{"id":1024,"uris":["http://zotero.org/users/921050/items/M9VVZ74C"],"uri":["http://zotero.org/users/921050/items/M9VVZ74C"],"itemData":{"id":1024,"type":"chapter","title":"Randomized Phase II Cancer Clinical Trials.","collection-title":"Chapman &amp; Hall/CRC Biostatistics Series","collection-number":"CAT# K13295","edition":"Chapman and Hall/CRC","abstract":"In cancer research, a traditional phase II trial is designed as a single-arm trial that compares the experimental therapy to a historical control. This simple trial design has led to several adverse issues, including increased false positivity of phase II trial results and negative phase III trials. To rectify these problems, oncologists and biostatisticians have begun to use a randomized phase II trial that compares an experimental therapy with a prospective control therapy.\n\nRandomized Phase II Cancer Clinical Trials explains how to properly select and accurately use diverse statistical methods for designing and analyzing phase II trials. The author first reviews the statistical methods for single-arm phase II trials since some methodologies for randomized phase II trials stem from single-arm phase II trials and many phase II cancer clinical trials still use single-arm designs. The book then presents methods for randomized phase II trials and describes statistical methods for both single-arm and randomized phase II trials. Although the text focuses on phase II cancer clinical trials, the statistical methods covered can also be used (with minor modifications) in phase II trials for other diseases and in phase III cancer clinical trials.\n\nSuitable for cancer clinicians and biostatisticians, this book shows how randomized phase II trials with a prospective control resolve the shortcomings of traditional single-arm phase II trials. It provides readers with numerous statistical design and analysis methods for randomized phase II trials in oncology.","ISBN":"978-1-4398-7185-0","language":"English","author":[{"literal":"Sin-Ho Jung"}],"issued":{"date-parts":[["2013",5]]}}}],"schema":"https://github.com/citation-style-language/schema/raw/master/csl-citation.json"}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2</w:t>
      </w:r>
      <w:r w:rsidRPr="00FB1858">
        <w:rPr>
          <w:color w:val="000000" w:themeColor="text1"/>
          <w:sz w:val="20"/>
          <w:szCs w:val="20"/>
        </w:rPr>
        <w:fldChar w:fldCharType="end"/>
      </w:r>
      <w:r w:rsidRPr="00FB1858">
        <w:rPr>
          <w:color w:val="000000" w:themeColor="text1"/>
          <w:sz w:val="20"/>
          <w:szCs w:val="20"/>
        </w:rPr>
        <w:t xml:space="preserve"> Final analysis depends on the cumulative number of responding patients observed (s) by the stopping stage (i.e. s = s</w:t>
      </w:r>
      <w:r w:rsidRPr="00FB1858">
        <w:rPr>
          <w:color w:val="000000" w:themeColor="text1"/>
          <w:sz w:val="20"/>
          <w:szCs w:val="20"/>
          <w:vertAlign w:val="subscript"/>
        </w:rPr>
        <w:t>1</w:t>
      </w:r>
      <w:r w:rsidRPr="00FB1858">
        <w:rPr>
          <w:color w:val="000000" w:themeColor="text1"/>
          <w:sz w:val="20"/>
          <w:szCs w:val="20"/>
        </w:rPr>
        <w:t xml:space="preserve"> if M = 1 and s = s</w:t>
      </w:r>
      <w:r w:rsidRPr="00FB1858">
        <w:rPr>
          <w:color w:val="000000" w:themeColor="text1"/>
          <w:sz w:val="20"/>
          <w:szCs w:val="20"/>
          <w:vertAlign w:val="subscript"/>
        </w:rPr>
        <w:t>1</w:t>
      </w:r>
      <w:r w:rsidRPr="00FB1858">
        <w:rPr>
          <w:color w:val="000000" w:themeColor="text1"/>
          <w:sz w:val="20"/>
          <w:szCs w:val="20"/>
        </w:rPr>
        <w:t>+ s</w:t>
      </w:r>
      <w:r w:rsidRPr="00FB1858">
        <w:rPr>
          <w:color w:val="000000" w:themeColor="text1"/>
          <w:sz w:val="20"/>
          <w:szCs w:val="20"/>
          <w:vertAlign w:val="subscript"/>
        </w:rPr>
        <w:t>2</w:t>
      </w:r>
      <w:r w:rsidRPr="00FB1858">
        <w:rPr>
          <w:color w:val="000000" w:themeColor="text1"/>
          <w:sz w:val="20"/>
          <w:szCs w:val="20"/>
        </w:rPr>
        <w:t xml:space="preserve"> if M = 2) and on the number of patients accrued during the study stages 1 (n</w:t>
      </w:r>
      <w:r w:rsidRPr="00FB1858">
        <w:rPr>
          <w:color w:val="000000" w:themeColor="text1"/>
          <w:sz w:val="20"/>
          <w:szCs w:val="20"/>
          <w:vertAlign w:val="subscript"/>
        </w:rPr>
        <w:t>1</w:t>
      </w:r>
      <w:r w:rsidRPr="00FB1858">
        <w:rPr>
          <w:color w:val="000000" w:themeColor="text1"/>
          <w:sz w:val="20"/>
          <w:szCs w:val="20"/>
        </w:rPr>
        <w:t>) and 2 (n</w:t>
      </w:r>
      <w:r w:rsidRPr="00FB1858">
        <w:rPr>
          <w:color w:val="000000" w:themeColor="text1"/>
          <w:sz w:val="20"/>
          <w:szCs w:val="20"/>
          <w:vertAlign w:val="subscript"/>
        </w:rPr>
        <w:t>2</w:t>
      </w:r>
      <w:r w:rsidRPr="00FB1858">
        <w:rPr>
          <w:color w:val="000000" w:themeColor="text1"/>
          <w:sz w:val="20"/>
          <w:szCs w:val="20"/>
        </w:rPr>
        <w:t>).</w:t>
      </w:r>
    </w:p>
    <w:p w14:paraId="0C600522" w14:textId="5EFB26F0" w:rsidR="00AD1141"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 xml:space="preserve">Considering that for K = 1, 2, </w:t>
      </w:r>
      <w:proofErr w:type="spellStart"/>
      <w:r w:rsidRPr="00FB1858">
        <w:rPr>
          <w:color w:val="000000" w:themeColor="text1"/>
          <w:sz w:val="20"/>
          <w:szCs w:val="20"/>
        </w:rPr>
        <w:t>X</w:t>
      </w:r>
      <w:r w:rsidRPr="00FB1858">
        <w:rPr>
          <w:color w:val="000000" w:themeColor="text1"/>
          <w:sz w:val="20"/>
          <w:szCs w:val="20"/>
          <w:vertAlign w:val="subscript"/>
        </w:rPr>
        <w:t>k</w:t>
      </w:r>
      <w:proofErr w:type="spellEnd"/>
      <w:r w:rsidRPr="00FB1858">
        <w:rPr>
          <w:color w:val="000000" w:themeColor="text1"/>
          <w:sz w:val="20"/>
          <w:szCs w:val="20"/>
        </w:rPr>
        <w:t xml:space="preserve"> were independent B(</w:t>
      </w:r>
      <w:proofErr w:type="spellStart"/>
      <w:proofErr w:type="gramStart"/>
      <w:r w:rsidRPr="00FB1858">
        <w:rPr>
          <w:color w:val="000000" w:themeColor="text1"/>
          <w:sz w:val="20"/>
          <w:szCs w:val="20"/>
        </w:rPr>
        <w:t>n</w:t>
      </w:r>
      <w:r w:rsidRPr="00FB1858">
        <w:rPr>
          <w:color w:val="000000" w:themeColor="text1"/>
          <w:sz w:val="20"/>
          <w:szCs w:val="20"/>
          <w:vertAlign w:val="subscript"/>
        </w:rPr>
        <w:t>k</w:t>
      </w:r>
      <w:r w:rsidRPr="00FB1858">
        <w:rPr>
          <w:color w:val="000000" w:themeColor="text1"/>
          <w:sz w:val="20"/>
          <w:szCs w:val="20"/>
        </w:rPr>
        <w:t>,p</w:t>
      </w:r>
      <w:proofErr w:type="spellEnd"/>
      <w:proofErr w:type="gramEnd"/>
      <w:r w:rsidRPr="00FB1858">
        <w:rPr>
          <w:color w:val="000000" w:themeColor="text1"/>
          <w:sz w:val="20"/>
          <w:szCs w:val="20"/>
        </w:rPr>
        <w:t>) random variables, the probability of rejecting the treatment (or equivalent failing to reject H</w:t>
      </w:r>
      <w:r w:rsidRPr="00FB1858">
        <w:rPr>
          <w:color w:val="000000" w:themeColor="text1"/>
          <w:sz w:val="20"/>
          <w:szCs w:val="20"/>
          <w:vertAlign w:val="subscript"/>
        </w:rPr>
        <w:t>0</w:t>
      </w:r>
      <w:r w:rsidRPr="00FB1858">
        <w:rPr>
          <w:color w:val="000000" w:themeColor="text1"/>
          <w:sz w:val="20"/>
          <w:szCs w:val="20"/>
        </w:rPr>
        <w:t>: p ≤ p</w:t>
      </w:r>
      <w:r w:rsidRPr="00FB1858">
        <w:rPr>
          <w:color w:val="000000" w:themeColor="text1"/>
          <w:sz w:val="20"/>
          <w:szCs w:val="20"/>
          <w:vertAlign w:val="subscript"/>
        </w:rPr>
        <w:t>0</w:t>
      </w:r>
      <w:r w:rsidRPr="00FB1858">
        <w:rPr>
          <w:color w:val="000000" w:themeColor="text1"/>
          <w:sz w:val="20"/>
          <w:szCs w:val="20"/>
        </w:rPr>
        <w:t xml:space="preserve">) for two-stage design is expressed as: </w:t>
      </w:r>
    </w:p>
    <w:p w14:paraId="6D71C128" w14:textId="76088EA4" w:rsidR="002F06E6" w:rsidRPr="00FB1858" w:rsidRDefault="002F06E6" w:rsidP="00A34C21">
      <w:pPr>
        <w:tabs>
          <w:tab w:val="left" w:pos="3700"/>
        </w:tabs>
        <w:spacing w:line="480" w:lineRule="auto"/>
        <w:ind w:firstLine="284"/>
        <w:rPr>
          <w:color w:val="000000" w:themeColor="text1"/>
          <w:sz w:val="20"/>
          <w:szCs w:val="20"/>
        </w:rPr>
      </w:pPr>
      <w:r w:rsidRPr="00FB1858">
        <w:rPr>
          <w:color w:val="000000" w:themeColor="text1"/>
          <w:sz w:val="20"/>
          <w:szCs w:val="20"/>
        </w:rPr>
        <w:lastRenderedPageBreak/>
        <w:t>R(p) = B(a</w:t>
      </w:r>
      <w:r w:rsidRPr="00FB1858">
        <w:rPr>
          <w:color w:val="000000" w:themeColor="text1"/>
          <w:sz w:val="20"/>
          <w:szCs w:val="20"/>
          <w:vertAlign w:val="subscript"/>
        </w:rPr>
        <w:t>1</w:t>
      </w:r>
      <w:r w:rsidRPr="00FB1858">
        <w:rPr>
          <w:color w:val="000000" w:themeColor="text1"/>
          <w:sz w:val="20"/>
          <w:szCs w:val="20"/>
        </w:rPr>
        <w:t>|n</w:t>
      </w:r>
      <w:proofErr w:type="gramStart"/>
      <w:r w:rsidRPr="00FB1858">
        <w:rPr>
          <w:color w:val="000000" w:themeColor="text1"/>
          <w:sz w:val="20"/>
          <w:szCs w:val="20"/>
          <w:vertAlign w:val="subscript"/>
        </w:rPr>
        <w:t>1</w:t>
      </w:r>
      <w:r w:rsidRPr="00FB1858">
        <w:rPr>
          <w:color w:val="000000" w:themeColor="text1"/>
          <w:sz w:val="20"/>
          <w:szCs w:val="20"/>
        </w:rPr>
        <w:t>,p</w:t>
      </w:r>
      <w:proofErr w:type="gramEnd"/>
      <w:r w:rsidRPr="00FB1858">
        <w:rPr>
          <w:color w:val="000000" w:themeColor="text1"/>
          <w:sz w:val="20"/>
          <w:szCs w:val="20"/>
        </w:rPr>
        <w:t xml:space="preserve">) + </w:t>
      </w:r>
      <m:oMath>
        <m:nary>
          <m:naryPr>
            <m:chr m:val="∑"/>
            <m:limLoc m:val="undOvr"/>
            <m:ctrlPr>
              <w:rPr>
                <w:rFonts w:ascii="Cambria Math" w:hAnsi="Cambria Math"/>
                <w:color w:val="000000" w:themeColor="text1"/>
                <w:sz w:val="20"/>
                <w:szCs w:val="20"/>
              </w:rPr>
            </m:ctrlPr>
          </m:naryPr>
          <m:sub>
            <m:r>
              <w:rPr>
                <w:rFonts w:ascii="Cambria Math" w:hAnsi="Cambria Math"/>
                <w:color w:val="000000" w:themeColor="text1"/>
                <w:sz w:val="20"/>
                <w:szCs w:val="20"/>
              </w:rPr>
              <m:t>x</m:t>
            </m:r>
            <m:r>
              <m:rPr>
                <m:sty m:val="p"/>
              </m:rPr>
              <w:rPr>
                <w:rFonts w:ascii="Cambria Math" w:hAnsi="Cambria Math"/>
                <w:color w:val="000000" w:themeColor="text1"/>
                <w:sz w:val="20"/>
                <w:szCs w:val="20"/>
              </w:rPr>
              <m:t>=</m:t>
            </m:r>
            <m:r>
              <w:rPr>
                <w:rFonts w:ascii="Cambria Math" w:hAnsi="Cambria Math"/>
                <w:color w:val="000000" w:themeColor="text1"/>
                <w:sz w:val="20"/>
                <w:szCs w:val="20"/>
              </w:rPr>
              <m:t>a</m:t>
            </m:r>
            <m:r>
              <m:rPr>
                <m:sty m:val="p"/>
              </m:rPr>
              <w:rPr>
                <w:rFonts w:ascii="Cambria Math" w:hAnsi="Cambria Math"/>
                <w:color w:val="000000" w:themeColor="text1"/>
                <w:sz w:val="20"/>
                <w:szCs w:val="20"/>
              </w:rPr>
              <m:t>1+1</m:t>
            </m:r>
          </m:sub>
          <m:sup>
            <m:r>
              <w:rPr>
                <w:rFonts w:ascii="Cambria Math" w:hAnsi="Cambria Math"/>
                <w:color w:val="000000" w:themeColor="text1"/>
                <w:sz w:val="20"/>
                <w:szCs w:val="20"/>
              </w:rPr>
              <m:t>J</m:t>
            </m:r>
          </m:sup>
          <m:e>
            <m:r>
              <w:rPr>
                <w:rFonts w:ascii="Cambria Math" w:hAnsi="Cambria Math"/>
                <w:color w:val="000000" w:themeColor="text1"/>
                <w:sz w:val="20"/>
                <w:szCs w:val="20"/>
              </w:rPr>
              <m:t>b</m:t>
            </m:r>
            <m:d>
              <m:dPr>
                <m:ctrlPr>
                  <w:rPr>
                    <w:rFonts w:ascii="Cambria Math" w:hAnsi="Cambria Math"/>
                    <w:color w:val="000000" w:themeColor="text1"/>
                    <w:sz w:val="20"/>
                    <w:szCs w:val="20"/>
                  </w:rPr>
                </m:ctrlPr>
              </m:dPr>
              <m:e>
                <m:r>
                  <w:rPr>
                    <w:rFonts w:ascii="Cambria Math" w:hAnsi="Cambria Math"/>
                    <w:color w:val="000000" w:themeColor="text1"/>
                    <w:sz w:val="20"/>
                    <w:szCs w:val="20"/>
                  </w:rPr>
                  <m:t>s</m:t>
                </m:r>
              </m:e>
              <m:e>
                <m:r>
                  <w:rPr>
                    <w:rFonts w:ascii="Cambria Math" w:hAnsi="Cambria Math"/>
                    <w:color w:val="000000" w:themeColor="text1"/>
                    <w:sz w:val="20"/>
                    <w:szCs w:val="20"/>
                  </w:rPr>
                  <m:t>n</m:t>
                </m:r>
                <m:r>
                  <m:rPr>
                    <m:sty m:val="p"/>
                  </m:rPr>
                  <w:rPr>
                    <w:rFonts w:ascii="Cambria Math" w:hAnsi="Cambria Math"/>
                    <w:color w:val="000000" w:themeColor="text1"/>
                    <w:sz w:val="20"/>
                    <w:szCs w:val="20"/>
                  </w:rPr>
                  <m:t>1,</m:t>
                </m:r>
                <m:r>
                  <w:rPr>
                    <w:rFonts w:ascii="Cambria Math" w:hAnsi="Cambria Math"/>
                    <w:color w:val="000000" w:themeColor="text1"/>
                    <w:sz w:val="20"/>
                    <w:szCs w:val="20"/>
                  </w:rPr>
                  <m:t>p</m:t>
                </m:r>
              </m:e>
            </m:d>
            <m:r>
              <w:rPr>
                <w:rFonts w:ascii="Cambria Math" w:hAnsi="Cambria Math"/>
                <w:color w:val="000000" w:themeColor="text1"/>
                <w:sz w:val="20"/>
                <w:szCs w:val="20"/>
              </w:rPr>
              <m:t>B</m:t>
            </m:r>
            <m:r>
              <m:rPr>
                <m:sty m:val="p"/>
              </m:rPr>
              <w:rPr>
                <w:rFonts w:ascii="Cambria Math" w:hAnsi="Cambria Math"/>
                <w:color w:val="000000" w:themeColor="text1"/>
                <w:sz w:val="20"/>
                <w:szCs w:val="20"/>
              </w:rPr>
              <m:t>(</m:t>
            </m:r>
            <m:r>
              <w:rPr>
                <w:rFonts w:ascii="Cambria Math" w:hAnsi="Cambria Math"/>
                <w:color w:val="000000" w:themeColor="text1"/>
                <w:sz w:val="20"/>
                <w:szCs w:val="20"/>
              </w:rPr>
              <m:t>a</m:t>
            </m:r>
            <m:r>
              <m:rPr>
                <m:sty m:val="p"/>
              </m:rPr>
              <w:rPr>
                <w:rFonts w:ascii="Cambria Math" w:hAnsi="Cambria Math"/>
                <w:color w:val="000000" w:themeColor="text1"/>
                <w:sz w:val="20"/>
                <w:szCs w:val="20"/>
              </w:rPr>
              <m:t>-s|</m:t>
            </m:r>
            <m:r>
              <w:rPr>
                <w:rFonts w:ascii="Cambria Math" w:hAnsi="Cambria Math"/>
                <w:color w:val="000000" w:themeColor="text1"/>
                <w:sz w:val="20"/>
                <w:szCs w:val="20"/>
              </w:rPr>
              <m:t>n</m:t>
            </m:r>
            <m:r>
              <m:rPr>
                <m:sty m:val="p"/>
              </m:rPr>
              <w:rPr>
                <w:rFonts w:ascii="Cambria Math" w:hAnsi="Cambria Math"/>
                <w:color w:val="000000" w:themeColor="text1"/>
                <w:sz w:val="20"/>
                <w:szCs w:val="20"/>
              </w:rPr>
              <m:t>2,</m:t>
            </m:r>
            <m:r>
              <w:rPr>
                <w:rFonts w:ascii="Cambria Math" w:hAnsi="Cambria Math"/>
                <w:color w:val="000000" w:themeColor="text1"/>
                <w:sz w:val="20"/>
                <w:szCs w:val="20"/>
              </w:rPr>
              <m:t>p</m:t>
            </m:r>
            <m:r>
              <m:rPr>
                <m:sty m:val="p"/>
              </m:rPr>
              <w:rPr>
                <w:rFonts w:ascii="Cambria Math" w:hAnsi="Cambria Math"/>
                <w:color w:val="000000" w:themeColor="text1"/>
                <w:sz w:val="20"/>
                <w:szCs w:val="20"/>
              </w:rPr>
              <m:t>)</m:t>
            </m:r>
          </m:e>
        </m:nary>
      </m:oMath>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(17)</w:t>
      </w:r>
    </w:p>
    <w:p w14:paraId="400BFD50" w14:textId="77777777"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where J = min(n</w:t>
      </w:r>
      <w:proofErr w:type="gramStart"/>
      <w:r w:rsidRPr="00FB1858">
        <w:rPr>
          <w:color w:val="000000" w:themeColor="text1"/>
          <w:sz w:val="20"/>
          <w:szCs w:val="20"/>
          <w:vertAlign w:val="subscript"/>
        </w:rPr>
        <w:t>1</w:t>
      </w:r>
      <w:r w:rsidRPr="00FB1858">
        <w:rPr>
          <w:color w:val="000000" w:themeColor="text1"/>
          <w:sz w:val="20"/>
          <w:szCs w:val="20"/>
        </w:rPr>
        <w:t>,a</w:t>
      </w:r>
      <w:proofErr w:type="gramEnd"/>
      <w:r w:rsidRPr="00FB1858">
        <w:rPr>
          <w:color w:val="000000" w:themeColor="text1"/>
          <w:sz w:val="20"/>
          <w:szCs w:val="20"/>
        </w:rPr>
        <w:t>) in a two-stage design with only an stage one futility boundary (Simon’s design); and J = (b</w:t>
      </w:r>
      <w:r w:rsidRPr="00FB1858">
        <w:rPr>
          <w:color w:val="000000" w:themeColor="text1"/>
          <w:sz w:val="20"/>
          <w:szCs w:val="20"/>
          <w:vertAlign w:val="subscript"/>
        </w:rPr>
        <w:t>1</w:t>
      </w:r>
      <w:r w:rsidRPr="00FB1858">
        <w:rPr>
          <w:color w:val="000000" w:themeColor="text1"/>
          <w:sz w:val="20"/>
          <w:szCs w:val="20"/>
        </w:rPr>
        <w:t xml:space="preserve">-1) for a two-stage design with both futility and efficacy boundaries. </w:t>
      </w:r>
    </w:p>
    <w:p w14:paraId="3299F5E0" w14:textId="6411B55B" w:rsidR="00AD1141"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When the true response is p, the constraints on type I error probability and power are expressed as:</w:t>
      </w:r>
    </w:p>
    <w:p w14:paraId="7FC56B99" w14:textId="16674625" w:rsidR="00AD1141" w:rsidRPr="00FB1858" w:rsidRDefault="002F06E6" w:rsidP="00FB1858">
      <w:pPr>
        <w:tabs>
          <w:tab w:val="left" w:pos="3700"/>
        </w:tabs>
        <w:spacing w:line="480" w:lineRule="auto"/>
        <w:ind w:firstLine="284"/>
        <w:rPr>
          <w:color w:val="000000" w:themeColor="text1"/>
          <w:sz w:val="20"/>
          <w:szCs w:val="20"/>
        </w:rPr>
      </w:pPr>
      <w:r w:rsidRPr="00FB1858">
        <w:rPr>
          <w:color w:val="000000" w:themeColor="text1"/>
          <w:sz w:val="20"/>
          <w:szCs w:val="20"/>
        </w:rPr>
        <w:t>R(p</w:t>
      </w:r>
      <w:r w:rsidRPr="00FB1858">
        <w:rPr>
          <w:color w:val="000000" w:themeColor="text1"/>
          <w:sz w:val="20"/>
          <w:szCs w:val="20"/>
          <w:vertAlign w:val="subscript"/>
        </w:rPr>
        <w:t>0</w:t>
      </w:r>
      <w:r w:rsidRPr="00FB1858">
        <w:rPr>
          <w:color w:val="000000" w:themeColor="text1"/>
          <w:sz w:val="20"/>
          <w:szCs w:val="20"/>
        </w:rPr>
        <w:t>) ≥ 1-α and R(p</w:t>
      </w:r>
      <w:r w:rsidRPr="00FB1858">
        <w:rPr>
          <w:color w:val="000000" w:themeColor="text1"/>
          <w:sz w:val="20"/>
          <w:szCs w:val="20"/>
          <w:vertAlign w:val="subscript"/>
        </w:rPr>
        <w:t>1</w:t>
      </w:r>
      <w:r w:rsidRPr="00FB1858">
        <w:rPr>
          <w:color w:val="000000" w:themeColor="text1"/>
          <w:sz w:val="20"/>
          <w:szCs w:val="20"/>
        </w:rPr>
        <w:t>) ≤ β.</w:t>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r>
      <w:r w:rsidR="00A34C21" w:rsidRPr="00A34C21">
        <w:rPr>
          <w:color w:val="000000" w:themeColor="text1"/>
          <w:sz w:val="20"/>
          <w:szCs w:val="20"/>
        </w:rPr>
        <w:tab/>
        <w:t>(18)</w:t>
      </w:r>
    </w:p>
    <w:p w14:paraId="6B47DDD6" w14:textId="6E6CECA5"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Given (p</w:t>
      </w:r>
      <w:r w:rsidRPr="00FB1858">
        <w:rPr>
          <w:color w:val="000000" w:themeColor="text1"/>
          <w:sz w:val="20"/>
          <w:szCs w:val="20"/>
          <w:vertAlign w:val="subscript"/>
        </w:rPr>
        <w:t>0</w:t>
      </w:r>
      <w:r w:rsidRPr="00FB1858">
        <w:rPr>
          <w:color w:val="000000" w:themeColor="text1"/>
          <w:sz w:val="20"/>
          <w:szCs w:val="20"/>
        </w:rPr>
        <w:t>, p</w:t>
      </w:r>
      <w:r w:rsidRPr="00FB1858">
        <w:rPr>
          <w:color w:val="000000" w:themeColor="text1"/>
          <w:sz w:val="20"/>
          <w:szCs w:val="20"/>
          <w:vertAlign w:val="subscript"/>
        </w:rPr>
        <w:t>1</w:t>
      </w:r>
      <w:r w:rsidRPr="00FB1858">
        <w:rPr>
          <w:color w:val="000000" w:themeColor="text1"/>
          <w:sz w:val="20"/>
          <w:szCs w:val="20"/>
        </w:rPr>
        <w:t>, α</w:t>
      </w:r>
      <w:r w:rsidRPr="00FB1858">
        <w:rPr>
          <w:color w:val="000000" w:themeColor="text1"/>
          <w:sz w:val="20"/>
          <w:szCs w:val="20"/>
          <w:vertAlign w:val="subscript"/>
        </w:rPr>
        <w:t>1</w:t>
      </w:r>
      <w:r w:rsidRPr="00FB1858">
        <w:rPr>
          <w:color w:val="000000" w:themeColor="text1"/>
          <w:sz w:val="20"/>
          <w:szCs w:val="20"/>
        </w:rPr>
        <w:t>, 1-β), there are many two-stage designs [(a</w:t>
      </w:r>
      <w:r w:rsidRPr="00FB1858">
        <w:rPr>
          <w:color w:val="000000" w:themeColor="text1"/>
          <w:sz w:val="20"/>
          <w:szCs w:val="20"/>
          <w:vertAlign w:val="subscript"/>
        </w:rPr>
        <w:t>1</w:t>
      </w:r>
      <w:r w:rsidRPr="00FB1858">
        <w:rPr>
          <w:color w:val="000000" w:themeColor="text1"/>
          <w:sz w:val="20"/>
          <w:szCs w:val="20"/>
        </w:rPr>
        <w:t>/b</w:t>
      </w:r>
      <w:r w:rsidRPr="00FB1858">
        <w:rPr>
          <w:color w:val="000000" w:themeColor="text1"/>
          <w:sz w:val="20"/>
          <w:szCs w:val="20"/>
          <w:vertAlign w:val="subscript"/>
        </w:rPr>
        <w:t>1</w:t>
      </w:r>
      <w:r w:rsidRPr="00FB1858">
        <w:rPr>
          <w:color w:val="000000" w:themeColor="text1"/>
          <w:sz w:val="20"/>
          <w:szCs w:val="20"/>
        </w:rPr>
        <w:t>)/n</w:t>
      </w:r>
      <w:r w:rsidRPr="00FB1858">
        <w:rPr>
          <w:color w:val="000000" w:themeColor="text1"/>
          <w:sz w:val="20"/>
          <w:szCs w:val="20"/>
          <w:vertAlign w:val="subscript"/>
        </w:rPr>
        <w:t>1</w:t>
      </w:r>
      <w:r w:rsidRPr="00FB1858">
        <w:rPr>
          <w:color w:val="000000" w:themeColor="text1"/>
          <w:sz w:val="20"/>
          <w:szCs w:val="20"/>
        </w:rPr>
        <w:t xml:space="preserve">, a/n] satisfying the constraints with an upper limit for n, usually between 0.85 and 1.5 times the sample size for a single stage design. The probability of concluding the study early, PET(p), is the first term in </w:t>
      </w:r>
      <w:proofErr w:type="gramStart"/>
      <w:r w:rsidRPr="00FB1858">
        <w:rPr>
          <w:color w:val="000000" w:themeColor="text1"/>
          <w:sz w:val="20"/>
          <w:szCs w:val="20"/>
        </w:rPr>
        <w:t>Eq.(</w:t>
      </w:r>
      <w:proofErr w:type="gramEnd"/>
      <w:r w:rsidRPr="00FB1858">
        <w:rPr>
          <w:color w:val="000000" w:themeColor="text1"/>
          <w:sz w:val="20"/>
          <w:szCs w:val="20"/>
        </w:rPr>
        <w:t>1). B(a</w:t>
      </w:r>
      <w:r w:rsidRPr="00FB1858">
        <w:rPr>
          <w:color w:val="000000" w:themeColor="text1"/>
          <w:sz w:val="20"/>
          <w:szCs w:val="20"/>
          <w:vertAlign w:val="subscript"/>
        </w:rPr>
        <w:t>1</w:t>
      </w:r>
      <w:r w:rsidRPr="00FB1858">
        <w:rPr>
          <w:color w:val="000000" w:themeColor="text1"/>
          <w:sz w:val="20"/>
          <w:szCs w:val="20"/>
        </w:rPr>
        <w:t>|n</w:t>
      </w:r>
      <w:proofErr w:type="gramStart"/>
      <w:r w:rsidRPr="00FB1858">
        <w:rPr>
          <w:color w:val="000000" w:themeColor="text1"/>
          <w:sz w:val="20"/>
          <w:szCs w:val="20"/>
          <w:vertAlign w:val="subscript"/>
        </w:rPr>
        <w:t>1</w:t>
      </w:r>
      <w:r w:rsidRPr="00FB1858">
        <w:rPr>
          <w:color w:val="000000" w:themeColor="text1"/>
          <w:sz w:val="20"/>
          <w:szCs w:val="20"/>
        </w:rPr>
        <w:t>,p</w:t>
      </w:r>
      <w:proofErr w:type="gramEnd"/>
      <w:r w:rsidRPr="00FB1858">
        <w:rPr>
          <w:color w:val="000000" w:themeColor="text1"/>
          <w:sz w:val="20"/>
          <w:szCs w:val="20"/>
        </w:rPr>
        <w:t>), and the expected sample size for this design, E(</w:t>
      </w:r>
      <w:proofErr w:type="spellStart"/>
      <w:r w:rsidRPr="00FB1858">
        <w:rPr>
          <w:color w:val="000000" w:themeColor="text1"/>
          <w:sz w:val="20"/>
          <w:szCs w:val="20"/>
        </w:rPr>
        <w:t>N|p</w:t>
      </w:r>
      <w:proofErr w:type="spellEnd"/>
      <w:r w:rsidRPr="00FB1858">
        <w:rPr>
          <w:color w:val="000000" w:themeColor="text1"/>
          <w:sz w:val="20"/>
          <w:szCs w:val="20"/>
        </w:rPr>
        <w:t>), is n</w:t>
      </w:r>
      <w:r w:rsidRPr="00FB1858">
        <w:rPr>
          <w:color w:val="000000" w:themeColor="text1"/>
          <w:sz w:val="20"/>
          <w:szCs w:val="20"/>
          <w:vertAlign w:val="subscript"/>
        </w:rPr>
        <w:t>1</w:t>
      </w:r>
      <w:r w:rsidRPr="00FB1858">
        <w:rPr>
          <w:color w:val="000000" w:themeColor="text1"/>
          <w:sz w:val="20"/>
          <w:szCs w:val="20"/>
        </w:rPr>
        <w:t xml:space="preserve">PET(p) + n (1 − PET(p)). </w:t>
      </w:r>
      <w:r w:rsidR="00AD1141" w:rsidRPr="00FB1858">
        <w:rPr>
          <w:color w:val="000000" w:themeColor="text1"/>
          <w:sz w:val="20"/>
          <w:szCs w:val="20"/>
        </w:rPr>
        <w:t>In a p</w:t>
      </w:r>
      <w:r w:rsidRPr="00FB1858">
        <w:rPr>
          <w:color w:val="000000" w:themeColor="text1"/>
          <w:sz w:val="20"/>
          <w:szCs w:val="20"/>
        </w:rPr>
        <w:t>revious</w:t>
      </w:r>
      <w:r w:rsidR="00AD1141" w:rsidRPr="00FB1858">
        <w:rPr>
          <w:color w:val="000000" w:themeColor="text1"/>
          <w:sz w:val="20"/>
          <w:szCs w:val="20"/>
        </w:rPr>
        <w:t xml:space="preserve"> work</w:t>
      </w:r>
      <w:r w:rsidRPr="00FB1858">
        <w:rPr>
          <w:color w:val="000000" w:themeColor="text1"/>
          <w:sz w:val="20"/>
          <w:szCs w:val="20"/>
        </w:rPr>
        <w:t>, Simon proposed two criteria for selecting a good two-stage design among these designs.</w:t>
      </w:r>
      <w:r w:rsidR="00AD1141" w:rsidRPr="00FB1858">
        <w:rPr>
          <w:color w:val="000000" w:themeColor="text1"/>
          <w:sz w:val="20"/>
          <w:szCs w:val="20"/>
        </w:rPr>
        <w:fldChar w:fldCharType="begin"/>
      </w:r>
      <w:r w:rsidR="00AD1141" w:rsidRPr="00FB1858">
        <w:rPr>
          <w:color w:val="000000" w:themeColor="text1"/>
          <w:sz w:val="20"/>
          <w:szCs w:val="20"/>
        </w:rPr>
        <w:instrText xml:space="preserve"> ADDIN ZOTERO_ITEM CSL_CITATION {"citationID":"hys2emqk","properties":{"formattedCitation":"\\super 5\\nosupersub{}","plainCitation":"5","noteIndex":0},"citationItems":[{"id":1064,"uris":["http://zotero.org/users/921050/items/I8QSRVNN"],"uri":["http://zotero.org/users/921050/items/I8QSRVNN"],"itemData":{"id":1064,"type":"article-journal","title":"Optimal two-stage designs for phase II clinical trials","container-title":"Controlled Clinical Trials","page":"1-10","volume":"10","issue":"1","source":"PubMed","abstract":"The primary objective of a phase II clinical trial of a new drug or regimen is to determine whether it has sufficient biological activity against the disease under study to warrant more extensive development. Such trials are often conducted in a multi-institution setting where designs of more than two stages are difficult to manage. This paper presents two-stage designs that are optimal in the sense that the expected sample size is minimized if the regimen has low activity subject to constraints upon the size of the type 1 and type 2 errors. Two-stage designs which minimize the maximum sample size are also determined. Optimum and \"minimax\" designs for a range of design parameters are tabulated. These designs can also be used for pilot studies of new regimens where toxicity is the endpoint of interest.","ISSN":"0197-2456","note":"PMID: 2702835","journalAbbreviation":"Control Clin Trials","language":"eng","author":[{"family":"Simon","given":"R."}],"issued":{"date-parts":[["1989",3]]}}}],"schema":"https://github.com/citation-style-language/schema/raw/master/csl-citation.json"} </w:instrText>
      </w:r>
      <w:r w:rsidR="00AD1141" w:rsidRPr="00FB1858">
        <w:rPr>
          <w:color w:val="000000" w:themeColor="text1"/>
          <w:sz w:val="20"/>
          <w:szCs w:val="20"/>
        </w:rPr>
        <w:fldChar w:fldCharType="separate"/>
      </w:r>
      <w:r w:rsidR="00AD1141" w:rsidRPr="00FB1858">
        <w:rPr>
          <w:color w:val="000000" w:themeColor="text1"/>
          <w:sz w:val="20"/>
          <w:szCs w:val="20"/>
          <w:vertAlign w:val="superscript"/>
        </w:rPr>
        <w:t>5</w:t>
      </w:r>
      <w:r w:rsidR="00AD1141" w:rsidRPr="00FB1858">
        <w:rPr>
          <w:color w:val="000000" w:themeColor="text1"/>
          <w:sz w:val="20"/>
          <w:szCs w:val="20"/>
        </w:rPr>
        <w:fldChar w:fldCharType="end"/>
      </w:r>
      <w:r w:rsidRPr="00FB1858">
        <w:rPr>
          <w:color w:val="000000" w:themeColor="text1"/>
          <w:sz w:val="20"/>
          <w:szCs w:val="20"/>
        </w:rPr>
        <w:t xml:space="preserve"> The minimax design minimizes the maximum sample size “n” satisfying (α, 1 - β)-constraint. On the other hand, the so-called optimal design minimizes the expected sample size EN under the null hypothesis.</w:t>
      </w:r>
    </w:p>
    <w:p w14:paraId="23741FFE" w14:textId="12FAA401" w:rsidR="00A34C21" w:rsidRPr="00A34C21" w:rsidRDefault="002F06E6" w:rsidP="00A34C21">
      <w:pPr>
        <w:tabs>
          <w:tab w:val="left" w:pos="3700"/>
        </w:tabs>
        <w:spacing w:line="480" w:lineRule="auto"/>
        <w:rPr>
          <w:color w:val="000000" w:themeColor="text1"/>
          <w:sz w:val="20"/>
          <w:szCs w:val="20"/>
        </w:rPr>
      </w:pPr>
      <w:r w:rsidRPr="00FB1858">
        <w:rPr>
          <w:color w:val="000000" w:themeColor="text1"/>
          <w:sz w:val="20"/>
          <w:szCs w:val="20"/>
        </w:rPr>
        <w:t>The most popular estimator of RR p for (M, S) = (m, s) is the sample proportion. For example:</w:t>
      </w:r>
    </w:p>
    <w:p w14:paraId="3CAF0AF8" w14:textId="77777777" w:rsidR="00A34C21" w:rsidRPr="00FB1858" w:rsidRDefault="00A34C21" w:rsidP="00FB1858">
      <w:pPr>
        <w:tabs>
          <w:tab w:val="left" w:pos="3700"/>
        </w:tabs>
        <w:spacing w:line="480" w:lineRule="auto"/>
        <w:rPr>
          <w:color w:val="000000" w:themeColor="text1"/>
          <w:sz w:val="20"/>
          <w:szCs w:val="20"/>
        </w:rPr>
      </w:pPr>
    </w:p>
    <w:p w14:paraId="572A6D8E" w14:textId="77777777" w:rsidR="002F06E6" w:rsidRPr="00FB1858" w:rsidRDefault="002F06E6" w:rsidP="00FB1858">
      <w:pPr>
        <w:tabs>
          <w:tab w:val="left" w:pos="3700"/>
        </w:tabs>
        <w:spacing w:line="480" w:lineRule="auto"/>
        <w:rPr>
          <w:color w:val="000000" w:themeColor="text1"/>
          <w:sz w:val="20"/>
          <w:szCs w:val="20"/>
        </w:rPr>
      </w:pPr>
    </w:p>
    <w:p w14:paraId="11B9C18C" w14:textId="77777777" w:rsidR="002F06E6" w:rsidRPr="00FB1858" w:rsidRDefault="002F06E6" w:rsidP="00FB1858">
      <w:pPr>
        <w:tabs>
          <w:tab w:val="left" w:pos="3700"/>
        </w:tabs>
        <w:spacing w:line="480" w:lineRule="auto"/>
        <w:rPr>
          <w:color w:val="000000" w:themeColor="text1"/>
          <w:sz w:val="20"/>
          <w:szCs w:val="20"/>
        </w:rPr>
      </w:pPr>
      <w:r w:rsidRPr="00FB1858">
        <w:rPr>
          <w:noProof/>
          <w:color w:val="000000" w:themeColor="text1"/>
          <w:sz w:val="20"/>
          <w:szCs w:val="20"/>
        </w:rPr>
        <mc:AlternateContent>
          <mc:Choice Requires="wps">
            <w:drawing>
              <wp:anchor distT="0" distB="0" distL="114300" distR="114300" simplePos="0" relativeHeight="251652096" behindDoc="0" locked="0" layoutInCell="1" allowOverlap="1" wp14:anchorId="25010DC3" wp14:editId="3479BF04">
                <wp:simplePos x="0" y="0"/>
                <wp:positionH relativeFrom="column">
                  <wp:posOffset>240665</wp:posOffset>
                </wp:positionH>
                <wp:positionV relativeFrom="paragraph">
                  <wp:posOffset>97155</wp:posOffset>
                </wp:positionV>
                <wp:extent cx="127635" cy="565150"/>
                <wp:effectExtent l="38100" t="0" r="24765" b="25400"/>
                <wp:wrapNone/>
                <wp:docPr id="3" name="Abrir llave 3"/>
                <wp:cNvGraphicFramePr/>
                <a:graphic xmlns:a="http://schemas.openxmlformats.org/drawingml/2006/main">
                  <a:graphicData uri="http://schemas.microsoft.com/office/word/2010/wordprocessingShape">
                    <wps:wsp>
                      <wps:cNvSpPr/>
                      <wps:spPr>
                        <a:xfrm>
                          <a:off x="0" y="0"/>
                          <a:ext cx="127635" cy="565150"/>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F5CF17"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brir llave 3" o:spid="_x0000_s1026" type="#_x0000_t87" style="position:absolute;margin-left:18.95pt;margin-top:7.65pt;width:10.05pt;height:4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" adj="407" strokecolor="black [3200]" strokeweight=".5pt">
                <v:stroke joinstyle="miter"/>
              </v:shape>
            </w:pict>
          </mc:Fallback>
        </mc:AlternateContent>
      </w:r>
      <w:r w:rsidRPr="00FB1858">
        <w:rPr>
          <w:color w:val="000000" w:themeColor="text1"/>
          <w:sz w:val="20"/>
          <w:szCs w:val="20"/>
        </w:rPr>
        <w:t xml:space="preserve">             s/n</w:t>
      </w:r>
      <w:r w:rsidRPr="00FB1858">
        <w:rPr>
          <w:color w:val="000000" w:themeColor="text1"/>
          <w:sz w:val="20"/>
          <w:szCs w:val="20"/>
          <w:vertAlign w:val="subscript"/>
        </w:rPr>
        <w:t>1</w:t>
      </w:r>
      <w:r w:rsidRPr="00FB1858">
        <w:rPr>
          <w:color w:val="000000" w:themeColor="text1"/>
          <w:sz w:val="20"/>
          <w:szCs w:val="20"/>
        </w:rPr>
        <w:t xml:space="preserve">             if m=1</w:t>
      </w:r>
    </w:p>
    <w:p w14:paraId="1E42CCFC" w14:textId="18676041" w:rsidR="002F06E6" w:rsidRPr="00FB1858" w:rsidRDefault="00EC62A9" w:rsidP="00FB1858">
      <w:pPr>
        <w:tabs>
          <w:tab w:val="left" w:pos="3700"/>
        </w:tabs>
        <w:spacing w:line="480" w:lineRule="auto"/>
        <w:rPr>
          <w:rFonts w:eastAsiaTheme="minorEastAsia"/>
          <w:color w:val="000000" w:themeColor="text1"/>
          <w:sz w:val="20"/>
          <w:szCs w:val="20"/>
        </w:rPr>
      </w:pPr>
      <m:oMath>
        <m:acc>
          <m:accPr>
            <m:chr m:val="̅"/>
            <m:ctrlPr>
              <w:rPr>
                <w:rFonts w:ascii="Cambria Math" w:hAnsi="Cambria Math"/>
                <w:i/>
                <w:color w:val="000000" w:themeColor="text1"/>
                <w:sz w:val="20"/>
                <w:szCs w:val="20"/>
              </w:rPr>
            </m:ctrlPr>
          </m:accPr>
          <m:e>
            <m:r>
              <w:rPr>
                <w:rFonts w:ascii="Cambria Math" w:hAnsi="Cambria Math"/>
                <w:color w:val="000000" w:themeColor="text1"/>
                <w:sz w:val="20"/>
                <w:szCs w:val="20"/>
              </w:rPr>
              <m:t>p</m:t>
            </m:r>
          </m:e>
        </m:acc>
      </m:oMath>
      <w:r w:rsidR="002F06E6" w:rsidRPr="00FB1858">
        <w:rPr>
          <w:rFonts w:eastAsiaTheme="minorEastAsia"/>
          <w:color w:val="000000" w:themeColor="text1"/>
          <w:sz w:val="20"/>
          <w:szCs w:val="20"/>
        </w:rPr>
        <w:t>=</w:t>
      </w:r>
      <w:r w:rsidR="00A34C21" w:rsidRPr="00A34C21">
        <w:rPr>
          <w:rFonts w:eastAsiaTheme="minorEastAsia"/>
          <w:color w:val="000000" w:themeColor="text1"/>
          <w:sz w:val="20"/>
          <w:szCs w:val="20"/>
        </w:rPr>
        <w:tab/>
      </w:r>
      <w:r w:rsidR="00A34C21" w:rsidRPr="00A34C21">
        <w:rPr>
          <w:rFonts w:eastAsiaTheme="minorEastAsia"/>
          <w:color w:val="000000" w:themeColor="text1"/>
          <w:sz w:val="20"/>
          <w:szCs w:val="20"/>
        </w:rPr>
        <w:tab/>
      </w:r>
      <w:r w:rsidR="00A34C21" w:rsidRPr="00A34C21">
        <w:rPr>
          <w:rFonts w:eastAsiaTheme="minorEastAsia"/>
          <w:color w:val="000000" w:themeColor="text1"/>
          <w:sz w:val="20"/>
          <w:szCs w:val="20"/>
        </w:rPr>
        <w:tab/>
      </w:r>
      <w:r w:rsidR="00A34C21" w:rsidRPr="00A34C21">
        <w:rPr>
          <w:rFonts w:eastAsiaTheme="minorEastAsia"/>
          <w:color w:val="000000" w:themeColor="text1"/>
          <w:sz w:val="20"/>
          <w:szCs w:val="20"/>
        </w:rPr>
        <w:tab/>
      </w:r>
      <w:r w:rsidR="00A34C21" w:rsidRPr="00A34C21">
        <w:rPr>
          <w:rFonts w:eastAsiaTheme="minorEastAsia"/>
          <w:color w:val="000000" w:themeColor="text1"/>
          <w:sz w:val="20"/>
          <w:szCs w:val="20"/>
        </w:rPr>
        <w:tab/>
      </w:r>
      <w:r w:rsidR="00A34C21" w:rsidRPr="00A34C21">
        <w:rPr>
          <w:rFonts w:eastAsiaTheme="minorEastAsia"/>
          <w:color w:val="000000" w:themeColor="text1"/>
          <w:sz w:val="20"/>
          <w:szCs w:val="20"/>
        </w:rPr>
        <w:tab/>
      </w:r>
      <w:r w:rsidR="00A34C21" w:rsidRPr="00A34C21">
        <w:rPr>
          <w:rFonts w:eastAsiaTheme="minorEastAsia"/>
          <w:color w:val="000000" w:themeColor="text1"/>
          <w:sz w:val="20"/>
          <w:szCs w:val="20"/>
        </w:rPr>
        <w:tab/>
        <w:t>(19)</w:t>
      </w:r>
    </w:p>
    <w:p w14:paraId="03BEB113" w14:textId="77777777" w:rsidR="002F06E6" w:rsidRPr="00FB1858" w:rsidRDefault="002F06E6" w:rsidP="00FB1858">
      <w:pPr>
        <w:tabs>
          <w:tab w:val="left" w:pos="3700"/>
        </w:tabs>
        <w:spacing w:line="480" w:lineRule="auto"/>
        <w:rPr>
          <w:color w:val="000000" w:themeColor="text1"/>
          <w:sz w:val="20"/>
          <w:szCs w:val="20"/>
        </w:rPr>
      </w:pPr>
      <w:r w:rsidRPr="00FB1858">
        <w:rPr>
          <w:rFonts w:eastAsiaTheme="minorEastAsia"/>
          <w:color w:val="000000" w:themeColor="text1"/>
          <w:sz w:val="20"/>
          <w:szCs w:val="20"/>
        </w:rPr>
        <w:t xml:space="preserve">             s/(n</w:t>
      </w:r>
      <w:r w:rsidRPr="00FB1858">
        <w:rPr>
          <w:rFonts w:eastAsiaTheme="minorEastAsia"/>
          <w:color w:val="000000" w:themeColor="text1"/>
          <w:sz w:val="20"/>
          <w:szCs w:val="20"/>
          <w:vertAlign w:val="subscript"/>
        </w:rPr>
        <w:t>1</w:t>
      </w:r>
      <w:r w:rsidRPr="00FB1858">
        <w:rPr>
          <w:rFonts w:eastAsiaTheme="minorEastAsia"/>
          <w:color w:val="000000" w:themeColor="text1"/>
          <w:sz w:val="20"/>
          <w:szCs w:val="20"/>
        </w:rPr>
        <w:t>+n</w:t>
      </w:r>
      <w:r w:rsidRPr="00FB1858">
        <w:rPr>
          <w:rFonts w:eastAsiaTheme="minorEastAsia"/>
          <w:color w:val="000000" w:themeColor="text1"/>
          <w:sz w:val="20"/>
          <w:szCs w:val="20"/>
          <w:vertAlign w:val="subscript"/>
        </w:rPr>
        <w:t>2</w:t>
      </w:r>
      <w:r w:rsidRPr="00FB1858">
        <w:rPr>
          <w:rFonts w:eastAsiaTheme="minorEastAsia"/>
          <w:color w:val="000000" w:themeColor="text1"/>
          <w:sz w:val="20"/>
          <w:szCs w:val="20"/>
        </w:rPr>
        <w:t>)     if m=2</w:t>
      </w:r>
    </w:p>
    <w:p w14:paraId="459BCAFE" w14:textId="77777777" w:rsidR="002F06E6" w:rsidRPr="00FB1858" w:rsidRDefault="002F06E6" w:rsidP="00FB1858">
      <w:pPr>
        <w:tabs>
          <w:tab w:val="left" w:pos="3700"/>
        </w:tabs>
        <w:spacing w:line="480" w:lineRule="auto"/>
        <w:rPr>
          <w:color w:val="000000" w:themeColor="text1"/>
          <w:sz w:val="20"/>
          <w:szCs w:val="20"/>
        </w:rPr>
      </w:pPr>
    </w:p>
    <w:p w14:paraId="04C748BF" w14:textId="15BB28B6"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The so-called maximum likelihood estimator (MLE) is always negatively biased for standard two-stage trials with futility stopping only</w:t>
      </w:r>
      <w:r w:rsidR="00AD1141"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{"citationID":"vchKkx9Z","properties":{"formattedCitation":"\\super 6\\nosupersub{}","plainCitation":"6","noteIndex":0},"citationItems":[{"id":1041,"uris":["http://zotero.org/users/921050/items/VFKQBPQW"],"uri":["http://zotero.org/users/921050/items/VFKQBPQW"],"itemData":{"id":1041,"type":"article-journal","title":"On the estimation of the binomial probability in multistage clinical trials","container-title":"Statistics in Medicine","page":"881-896","volume":"23","issue":"6","source":"PubMed","abstract":"Due to the optional sampling effect in a sequential design, the maximum likelihood estimator (MLE) following sequential tests is generally biased. In a typical two-stage design employed in a phase II clinical trial in cancer drug screening, a fixed number of patients are enrolled initially. The trial may be terminated for lack of clinical efficacy of treatment if the observed number of treatment responses after the first stage is too small. Otherwise, an additional fixed number of patients are enrolled to accumulate additional information on efficacy as well as on safety. There have been numerous suggestions for design of such two-stage studies. Here we establish that under the two-stage design the sufficient statistic, i.e. stopping stage and the number of treatment responses, for the parameter of the binomial distribution is also complete. Then, based on the Rao-Blackwell theorem, we derive the uniformly minimum variance unbiased estimator (UMVUE) as the conditional expectation of an unbiased estimator, which in this case is simply the maximum likelihood estimator based only on the first stage data, given the complete sufficient statistic. Our results generalize to a multistage design. We will illustrate features of the UMVUE based on two-stage phase II clinical trial design examples and present results of numerical studies on the properties of the UMVUE in comparison to the usual MLE.","DOI":"10.1002/sim.1653","ISSN":"0277-6715","note":"PMID: 15027078","journalAbbreviation":"Stat Med","language":"eng","author":[{"family":"Jung","given":"Sin-Ho"},{"family":"Kim","given":"Kyung Mann"}],"issued":{"date-parts":[["2004",3,30]]}}}],"schema":"https://github.com/citation-style-language/schema/raw/master/csl-citation.json"}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6</w:t>
      </w:r>
      <w:r w:rsidRPr="00FB1858">
        <w:rPr>
          <w:color w:val="000000" w:themeColor="text1"/>
          <w:sz w:val="20"/>
          <w:szCs w:val="20"/>
        </w:rPr>
        <w:fldChar w:fldCharType="end"/>
      </w:r>
      <w:r w:rsidRPr="00FB1858">
        <w:rPr>
          <w:color w:val="000000" w:themeColor="text1"/>
          <w:sz w:val="20"/>
          <w:szCs w:val="20"/>
        </w:rPr>
        <w:t xml:space="preserve"> For (M, S) = (m, s), the Uniformly Minimum Variance Unbiased Estimator (UMVUE) of p for two-stage phase II trials is given by:</w:t>
      </w:r>
    </w:p>
    <w:p w14:paraId="6E037C54" w14:textId="77777777" w:rsidR="00AD1141" w:rsidRPr="00FB1858" w:rsidRDefault="00AD1141" w:rsidP="00FB1858">
      <w:pPr>
        <w:tabs>
          <w:tab w:val="left" w:pos="3700"/>
        </w:tabs>
        <w:spacing w:line="480" w:lineRule="auto"/>
        <w:rPr>
          <w:color w:val="000000" w:themeColor="text1"/>
          <w:sz w:val="20"/>
          <w:szCs w:val="20"/>
        </w:rPr>
      </w:pPr>
    </w:p>
    <w:p w14:paraId="6C3E6C06" w14:textId="77777777" w:rsidR="002F06E6" w:rsidRPr="00FB1858" w:rsidRDefault="002F06E6" w:rsidP="00FB1858">
      <w:pPr>
        <w:tabs>
          <w:tab w:val="left" w:pos="3700"/>
        </w:tabs>
        <w:spacing w:line="480" w:lineRule="auto"/>
        <w:rPr>
          <w:color w:val="000000" w:themeColor="text1"/>
          <w:sz w:val="20"/>
          <w:szCs w:val="20"/>
        </w:rPr>
      </w:pPr>
      <w:r w:rsidRPr="00FB1858">
        <w:rPr>
          <w:noProof/>
          <w:color w:val="000000" w:themeColor="text1"/>
          <w:sz w:val="20"/>
          <w:szCs w:val="20"/>
        </w:rPr>
        <mc:AlternateContent>
          <mc:Choice Requires="wps">
            <w:drawing>
              <wp:anchor distT="0" distB="0" distL="114300" distR="114300" simplePos="0" relativeHeight="251662336" behindDoc="0" locked="0" layoutInCell="1" allowOverlap="1" wp14:anchorId="3DA1D9BD" wp14:editId="052B06F9">
                <wp:simplePos x="0" y="0"/>
                <wp:positionH relativeFrom="column">
                  <wp:posOffset>278765</wp:posOffset>
                </wp:positionH>
                <wp:positionV relativeFrom="paragraph">
                  <wp:posOffset>26035</wp:posOffset>
                </wp:positionV>
                <wp:extent cx="146685" cy="730250"/>
                <wp:effectExtent l="38100" t="0" r="24765" b="12700"/>
                <wp:wrapNone/>
                <wp:docPr id="6" name="Abrir llave 6"/>
                <wp:cNvGraphicFramePr/>
                <a:graphic xmlns:a="http://schemas.openxmlformats.org/drawingml/2006/main">
                  <a:graphicData uri="http://schemas.microsoft.com/office/word/2010/wordprocessingShape">
                    <wps:wsp>
                      <wps:cNvSpPr/>
                      <wps:spPr>
                        <a:xfrm>
                          <a:off x="0" y="0"/>
                          <a:ext cx="146685" cy="730250"/>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79990" id="Abrir llave 6" o:spid="_x0000_s1026" type="#_x0000_t87" style="position:absolute;margin-left:21.95pt;margin-top:2.05pt;width:11.55pt;height: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" adj="362" strokecolor="black [3200]" strokeweight=".5pt">
                <v:stroke joinstyle="miter"/>
              </v:shape>
            </w:pict>
          </mc:Fallback>
        </mc:AlternateContent>
      </w:r>
      <w:r w:rsidRPr="00FB1858">
        <w:rPr>
          <w:color w:val="000000" w:themeColor="text1"/>
          <w:sz w:val="20"/>
          <w:szCs w:val="20"/>
        </w:rPr>
        <w:t xml:space="preserve">              s/n</w:t>
      </w:r>
      <w:r w:rsidRPr="00FB1858">
        <w:rPr>
          <w:color w:val="000000" w:themeColor="text1"/>
          <w:sz w:val="20"/>
          <w:szCs w:val="20"/>
          <w:vertAlign w:val="subscript"/>
        </w:rPr>
        <w:t>1</w:t>
      </w:r>
      <w:r w:rsidRPr="00FB1858">
        <w:rPr>
          <w:color w:val="000000" w:themeColor="text1"/>
          <w:sz w:val="20"/>
          <w:szCs w:val="20"/>
        </w:rPr>
        <w:t xml:space="preserve">                 </w:t>
      </w:r>
      <w:r w:rsidRPr="00FB1858">
        <w:rPr>
          <w:color w:val="000000" w:themeColor="text1"/>
          <w:sz w:val="20"/>
          <w:szCs w:val="20"/>
        </w:rPr>
        <w:tab/>
      </w:r>
      <w:r w:rsidRPr="00FB1858">
        <w:rPr>
          <w:color w:val="000000" w:themeColor="text1"/>
          <w:sz w:val="20"/>
          <w:szCs w:val="20"/>
        </w:rPr>
        <w:tab/>
      </w:r>
      <w:r w:rsidRPr="00FB1858">
        <w:rPr>
          <w:color w:val="000000" w:themeColor="text1"/>
          <w:sz w:val="20"/>
          <w:szCs w:val="20"/>
        </w:rPr>
        <w:tab/>
      </w:r>
      <w:r w:rsidRPr="00FB1858">
        <w:rPr>
          <w:color w:val="000000" w:themeColor="text1"/>
          <w:sz w:val="20"/>
          <w:szCs w:val="20"/>
        </w:rPr>
        <w:tab/>
        <w:t>if m=1</w:t>
      </w:r>
    </w:p>
    <w:p w14:paraId="31C31B91" w14:textId="77777777" w:rsidR="002F06E6" w:rsidRPr="00FB1858" w:rsidRDefault="00EC62A9" w:rsidP="00FB1858">
      <w:pPr>
        <w:tabs>
          <w:tab w:val="left" w:pos="3700"/>
        </w:tabs>
        <w:spacing w:line="480" w:lineRule="auto"/>
        <w:rPr>
          <w:rFonts w:eastAsiaTheme="minorEastAsia"/>
          <w:color w:val="000000" w:themeColor="text1"/>
          <w:sz w:val="20"/>
          <w:szCs w:val="20"/>
        </w:rPr>
      </w:pPr>
      <m:oMath>
        <m:acc>
          <m:accPr>
            <m:chr m:val="̅"/>
            <m:ctrlPr>
              <w:rPr>
                <w:rFonts w:ascii="Cambria Math" w:hAnsi="Cambria Math"/>
                <w:i/>
                <w:color w:val="000000" w:themeColor="text1"/>
                <w:sz w:val="20"/>
                <w:szCs w:val="20"/>
              </w:rPr>
            </m:ctrlPr>
          </m:accPr>
          <m:e>
            <m:r>
              <w:rPr>
                <w:rFonts w:ascii="Cambria Math" w:hAnsi="Cambria Math"/>
                <w:color w:val="000000" w:themeColor="text1"/>
                <w:sz w:val="20"/>
                <w:szCs w:val="20"/>
              </w:rPr>
              <m:t>p</m:t>
            </m:r>
          </m:e>
        </m:acc>
      </m:oMath>
      <w:r w:rsidR="002F06E6" w:rsidRPr="00FB1858">
        <w:rPr>
          <w:rFonts w:eastAsiaTheme="minorEastAsia"/>
          <w:color w:val="000000" w:themeColor="text1"/>
          <w:sz w:val="20"/>
          <w:szCs w:val="20"/>
        </w:rPr>
        <w:t>=</w:t>
      </w:r>
      <w:r w:rsidR="002F06E6" w:rsidRPr="00FB1858">
        <w:rPr>
          <w:rFonts w:eastAsiaTheme="minorEastAsia"/>
          <w:color w:val="000000" w:themeColor="text1"/>
          <w:sz w:val="20"/>
          <w:szCs w:val="20"/>
        </w:rPr>
        <w:tab/>
      </w:r>
      <w:r w:rsidR="002F06E6" w:rsidRPr="00FB1858">
        <w:rPr>
          <w:rFonts w:eastAsiaTheme="minorEastAsia"/>
          <w:color w:val="000000" w:themeColor="text1"/>
          <w:sz w:val="20"/>
          <w:szCs w:val="20"/>
        </w:rPr>
        <w:tab/>
      </w:r>
      <w:r w:rsidR="002F06E6" w:rsidRPr="00FB1858">
        <w:rPr>
          <w:rFonts w:eastAsiaTheme="minorEastAsia"/>
          <w:color w:val="000000" w:themeColor="text1"/>
          <w:sz w:val="20"/>
          <w:szCs w:val="20"/>
        </w:rPr>
        <w:tab/>
      </w:r>
      <w:r w:rsidR="002F06E6" w:rsidRPr="00FB1858">
        <w:rPr>
          <w:rFonts w:eastAsiaTheme="minorEastAsia"/>
          <w:color w:val="000000" w:themeColor="text1"/>
          <w:sz w:val="20"/>
          <w:szCs w:val="20"/>
        </w:rPr>
        <w:tab/>
      </w:r>
      <w:r w:rsidR="002F06E6" w:rsidRPr="00FB1858">
        <w:rPr>
          <w:rFonts w:eastAsiaTheme="minorEastAsia"/>
          <w:color w:val="000000" w:themeColor="text1"/>
          <w:sz w:val="20"/>
          <w:szCs w:val="20"/>
        </w:rPr>
        <w:tab/>
      </w:r>
      <w:r w:rsidR="002F06E6" w:rsidRPr="00FB1858">
        <w:rPr>
          <w:rFonts w:eastAsiaTheme="minorEastAsia"/>
          <w:color w:val="000000" w:themeColor="text1"/>
          <w:sz w:val="20"/>
          <w:szCs w:val="20"/>
        </w:rPr>
        <w:tab/>
        <w:t>(</w:t>
      </w:r>
      <w:r w:rsidR="002F06E6" w:rsidRPr="00FB1858">
        <w:rPr>
          <w:rFonts w:eastAsiaTheme="minorEastAsia"/>
          <w:b/>
          <w:color w:val="000000" w:themeColor="text1"/>
          <w:sz w:val="20"/>
          <w:szCs w:val="20"/>
        </w:rPr>
        <w:t>Equation 1</w:t>
      </w:r>
      <w:r w:rsidR="002F06E6" w:rsidRPr="00FB1858">
        <w:rPr>
          <w:rFonts w:eastAsiaTheme="minorEastAsia"/>
          <w:color w:val="000000" w:themeColor="text1"/>
          <w:sz w:val="20"/>
          <w:szCs w:val="20"/>
        </w:rPr>
        <w:t>)</w:t>
      </w:r>
    </w:p>
    <w:p w14:paraId="2505470B" w14:textId="77777777" w:rsidR="002F06E6" w:rsidRPr="00FB1858" w:rsidRDefault="002F06E6" w:rsidP="00FB1858">
      <w:pPr>
        <w:tabs>
          <w:tab w:val="left" w:pos="3700"/>
        </w:tabs>
        <w:spacing w:line="480" w:lineRule="auto"/>
        <w:rPr>
          <w:color w:val="000000" w:themeColor="text1"/>
          <w:sz w:val="20"/>
          <w:szCs w:val="20"/>
        </w:rPr>
      </w:pPr>
      <w:r w:rsidRPr="00FB1858">
        <w:rPr>
          <w:rFonts w:eastAsiaTheme="minorEastAsia"/>
          <w:color w:val="000000" w:themeColor="text1"/>
          <w:sz w:val="20"/>
          <w:szCs w:val="20"/>
        </w:rPr>
        <w:t xml:space="preserve">             </w:t>
      </w:r>
      <m:oMath>
        <m:f>
          <m:fPr>
            <m:ctrlPr>
              <w:rPr>
                <w:rFonts w:ascii="Cambria Math" w:eastAsiaTheme="minorEastAsia" w:hAnsi="Cambria Math"/>
                <w:i/>
                <w:color w:val="000000" w:themeColor="text1"/>
                <w:sz w:val="20"/>
                <w:szCs w:val="20"/>
              </w:rPr>
            </m:ctrlPr>
          </m:fPr>
          <m:num>
            <m:nary>
              <m:naryPr>
                <m:chr m:val="∑"/>
                <m:limLoc m:val="undOvr"/>
                <m:ctrlPr>
                  <w:rPr>
                    <w:rFonts w:ascii="Cambria Math" w:eastAsiaTheme="minorEastAsia" w:hAnsi="Cambria Math"/>
                    <w:i/>
                    <w:color w:val="000000" w:themeColor="text1"/>
                    <w:sz w:val="20"/>
                    <w:szCs w:val="20"/>
                  </w:rPr>
                </m:ctrlPr>
              </m:naryPr>
              <m:sub>
                <m:r>
                  <m:rPr>
                    <m:sty m:val="p"/>
                  </m:rPr>
                  <w:rPr>
                    <w:rFonts w:ascii="Cambria Math" w:hAnsi="Cambria Math"/>
                    <w:color w:val="000000" w:themeColor="text1"/>
                    <w:sz w:val="20"/>
                    <w:szCs w:val="20"/>
                  </w:rPr>
                  <m:t>x1=(a1+1) ∨(s-n2)</m:t>
                </m:r>
              </m:sub>
              <m:sup>
                <m:r>
                  <m:rPr>
                    <m:sty m:val="p"/>
                  </m:rPr>
                  <w:rPr>
                    <w:rFonts w:ascii="Cambria Math" w:hAnsi="Cambria Math"/>
                    <w:color w:val="000000" w:themeColor="text1"/>
                    <w:sz w:val="20"/>
                    <w:szCs w:val="20"/>
                  </w:rPr>
                  <m:t>s ∧(b1-1)</m:t>
                </m:r>
              </m:sup>
              <m:e>
                <m:d>
                  <m:dPr>
                    <m:ctrlPr>
                      <w:rPr>
                        <w:rFonts w:ascii="Cambria Math" w:eastAsiaTheme="minorEastAsia" w:hAnsi="Cambria Math"/>
                        <w:i/>
                        <w:color w:val="000000" w:themeColor="text1"/>
                        <w:sz w:val="20"/>
                        <w:szCs w:val="20"/>
                      </w:rPr>
                    </m:ctrlPr>
                  </m:dPr>
                  <m:e>
                    <m:m>
                      <m:mPr>
                        <m:mcs>
                          <m:mc>
                            <m:mcPr>
                              <m:count m:val="1"/>
                              <m:mcJc m:val="center"/>
                            </m:mcPr>
                          </m:mc>
                        </m:mcs>
                        <m:ctrlPr>
                          <w:rPr>
                            <w:rFonts w:ascii="Cambria Math" w:eastAsiaTheme="minorEastAsia" w:hAnsi="Cambria Math"/>
                            <w:i/>
                            <w:color w:val="000000" w:themeColor="text1"/>
                            <w:sz w:val="20"/>
                            <w:szCs w:val="20"/>
                          </w:rPr>
                        </m:ctrlPr>
                      </m:mPr>
                      <m:mr>
                        <m:e>
                          <m:r>
                            <w:rPr>
                              <w:rFonts w:ascii="Cambria Math" w:eastAsiaTheme="minorEastAsia" w:hAnsi="Cambria Math"/>
                              <w:color w:val="000000" w:themeColor="text1"/>
                              <w:sz w:val="20"/>
                              <w:szCs w:val="20"/>
                            </w:rPr>
                            <m:t>n1-1</m:t>
                          </m:r>
                        </m:e>
                      </m:mr>
                      <m:mr>
                        <m:e>
                          <m:r>
                            <w:rPr>
                              <w:rFonts w:ascii="Cambria Math" w:eastAsiaTheme="minorEastAsia" w:hAnsi="Cambria Math"/>
                              <w:color w:val="000000" w:themeColor="text1"/>
                              <w:sz w:val="20"/>
                              <w:szCs w:val="20"/>
                            </w:rPr>
                            <m:t>x1-1</m:t>
                          </m:r>
                        </m:e>
                      </m:mr>
                    </m:m>
                  </m:e>
                </m:d>
                <m:d>
                  <m:dPr>
                    <m:ctrlPr>
                      <w:rPr>
                        <w:rFonts w:ascii="Cambria Math" w:eastAsiaTheme="minorEastAsia" w:hAnsi="Cambria Math"/>
                        <w:i/>
                        <w:color w:val="000000" w:themeColor="text1"/>
                        <w:sz w:val="20"/>
                        <w:szCs w:val="20"/>
                      </w:rPr>
                    </m:ctrlPr>
                  </m:dPr>
                  <m:e>
                    <m:m>
                      <m:mPr>
                        <m:mcs>
                          <m:mc>
                            <m:mcPr>
                              <m:count m:val="1"/>
                              <m:mcJc m:val="center"/>
                            </m:mcPr>
                          </m:mc>
                        </m:mcs>
                        <m:ctrlPr>
                          <w:rPr>
                            <w:rFonts w:ascii="Cambria Math" w:eastAsiaTheme="minorEastAsia" w:hAnsi="Cambria Math"/>
                            <w:i/>
                            <w:color w:val="000000" w:themeColor="text1"/>
                            <w:sz w:val="20"/>
                            <w:szCs w:val="20"/>
                          </w:rPr>
                        </m:ctrlPr>
                      </m:mPr>
                      <m:mr>
                        <m:e>
                          <m:r>
                            <w:rPr>
                              <w:rFonts w:ascii="Cambria Math" w:eastAsiaTheme="minorEastAsia" w:hAnsi="Cambria Math"/>
                              <w:color w:val="000000" w:themeColor="text1"/>
                              <w:sz w:val="20"/>
                              <w:szCs w:val="20"/>
                            </w:rPr>
                            <m:t>n2</m:t>
                          </m:r>
                        </m:e>
                      </m:mr>
                      <m:mr>
                        <m:e>
                          <m:r>
                            <w:rPr>
                              <w:rFonts w:ascii="Cambria Math" w:eastAsiaTheme="minorEastAsia" w:hAnsi="Cambria Math"/>
                              <w:color w:val="000000" w:themeColor="text1"/>
                              <w:sz w:val="20"/>
                              <w:szCs w:val="20"/>
                            </w:rPr>
                            <m:t>s-x1</m:t>
                          </m:r>
                        </m:e>
                      </m:mr>
                    </m:m>
                  </m:e>
                </m:d>
              </m:e>
            </m:nary>
          </m:num>
          <m:den>
            <m:nary>
              <m:naryPr>
                <m:chr m:val="∑"/>
                <m:limLoc m:val="undOvr"/>
                <m:ctrlPr>
                  <w:rPr>
                    <w:rFonts w:ascii="Cambria Math" w:eastAsiaTheme="minorEastAsia" w:hAnsi="Cambria Math"/>
                    <w:i/>
                    <w:color w:val="000000" w:themeColor="text1"/>
                    <w:sz w:val="20"/>
                    <w:szCs w:val="20"/>
                  </w:rPr>
                </m:ctrlPr>
              </m:naryPr>
              <m:sub>
                <m:r>
                  <m:rPr>
                    <m:sty m:val="p"/>
                  </m:rPr>
                  <w:rPr>
                    <w:rFonts w:ascii="Cambria Math" w:hAnsi="Cambria Math"/>
                    <w:color w:val="000000" w:themeColor="text1"/>
                    <w:sz w:val="20"/>
                    <w:szCs w:val="20"/>
                  </w:rPr>
                  <m:t>x1=(a1+1) ∨(s-n2)</m:t>
                </m:r>
              </m:sub>
              <m:sup>
                <m:r>
                  <m:rPr>
                    <m:sty m:val="p"/>
                  </m:rPr>
                  <w:rPr>
                    <w:rFonts w:ascii="Cambria Math" w:hAnsi="Cambria Math"/>
                    <w:color w:val="000000" w:themeColor="text1"/>
                    <w:sz w:val="20"/>
                    <w:szCs w:val="20"/>
                  </w:rPr>
                  <m:t>s ∧(b1-1</m:t>
                </m:r>
              </m:sup>
              <m:e>
                <m:d>
                  <m:dPr>
                    <m:ctrlPr>
                      <w:rPr>
                        <w:rFonts w:ascii="Cambria Math" w:eastAsiaTheme="minorEastAsia" w:hAnsi="Cambria Math"/>
                        <w:i/>
                        <w:color w:val="000000" w:themeColor="text1"/>
                        <w:sz w:val="20"/>
                        <w:szCs w:val="20"/>
                      </w:rPr>
                    </m:ctrlPr>
                  </m:dPr>
                  <m:e>
                    <m:m>
                      <m:mPr>
                        <m:mcs>
                          <m:mc>
                            <m:mcPr>
                              <m:count m:val="1"/>
                              <m:mcJc m:val="center"/>
                            </m:mcPr>
                          </m:mc>
                        </m:mcs>
                        <m:ctrlPr>
                          <w:rPr>
                            <w:rFonts w:ascii="Cambria Math" w:eastAsiaTheme="minorEastAsia" w:hAnsi="Cambria Math"/>
                            <w:i/>
                            <w:color w:val="000000" w:themeColor="text1"/>
                            <w:sz w:val="20"/>
                            <w:szCs w:val="20"/>
                          </w:rPr>
                        </m:ctrlPr>
                      </m:mPr>
                      <m:mr>
                        <m:e>
                          <m:r>
                            <w:rPr>
                              <w:rFonts w:ascii="Cambria Math" w:eastAsiaTheme="minorEastAsia" w:hAnsi="Cambria Math"/>
                              <w:color w:val="000000" w:themeColor="text1"/>
                              <w:sz w:val="20"/>
                              <w:szCs w:val="20"/>
                            </w:rPr>
                            <m:t>n1</m:t>
                          </m:r>
                        </m:e>
                      </m:mr>
                      <m:mr>
                        <m:e>
                          <m:r>
                            <w:rPr>
                              <w:rFonts w:ascii="Cambria Math" w:eastAsiaTheme="minorEastAsia" w:hAnsi="Cambria Math"/>
                              <w:color w:val="000000" w:themeColor="text1"/>
                              <w:sz w:val="20"/>
                              <w:szCs w:val="20"/>
                            </w:rPr>
                            <m:t>x1</m:t>
                          </m:r>
                        </m:e>
                      </m:mr>
                    </m:m>
                  </m:e>
                </m:d>
                <m:d>
                  <m:dPr>
                    <m:ctrlPr>
                      <w:rPr>
                        <w:rFonts w:ascii="Cambria Math" w:eastAsiaTheme="minorEastAsia" w:hAnsi="Cambria Math"/>
                        <w:i/>
                        <w:color w:val="000000" w:themeColor="text1"/>
                        <w:sz w:val="20"/>
                        <w:szCs w:val="20"/>
                      </w:rPr>
                    </m:ctrlPr>
                  </m:dPr>
                  <m:e>
                    <m:m>
                      <m:mPr>
                        <m:mcs>
                          <m:mc>
                            <m:mcPr>
                              <m:count m:val="1"/>
                              <m:mcJc m:val="center"/>
                            </m:mcPr>
                          </m:mc>
                        </m:mcs>
                        <m:ctrlPr>
                          <w:rPr>
                            <w:rFonts w:ascii="Cambria Math" w:eastAsiaTheme="minorEastAsia" w:hAnsi="Cambria Math"/>
                            <w:i/>
                            <w:color w:val="000000" w:themeColor="text1"/>
                            <w:sz w:val="20"/>
                            <w:szCs w:val="20"/>
                          </w:rPr>
                        </m:ctrlPr>
                      </m:mPr>
                      <m:mr>
                        <m:e>
                          <m:r>
                            <w:rPr>
                              <w:rFonts w:ascii="Cambria Math" w:eastAsiaTheme="minorEastAsia" w:hAnsi="Cambria Math"/>
                              <w:color w:val="000000" w:themeColor="text1"/>
                              <w:sz w:val="20"/>
                              <w:szCs w:val="20"/>
                            </w:rPr>
                            <m:t>n2</m:t>
                          </m:r>
                        </m:e>
                      </m:mr>
                      <m:mr>
                        <m:e>
                          <m:r>
                            <w:rPr>
                              <w:rFonts w:ascii="Cambria Math" w:eastAsiaTheme="minorEastAsia" w:hAnsi="Cambria Math"/>
                              <w:color w:val="000000" w:themeColor="text1"/>
                              <w:sz w:val="20"/>
                              <w:szCs w:val="20"/>
                            </w:rPr>
                            <m:t>s-x1</m:t>
                          </m:r>
                        </m:e>
                      </m:mr>
                    </m:m>
                  </m:e>
                </m:d>
              </m:e>
            </m:nary>
          </m:den>
        </m:f>
      </m:oMath>
      <w:r w:rsidRPr="00FB1858">
        <w:rPr>
          <w:rFonts w:eastAsiaTheme="minorEastAsia"/>
          <w:color w:val="000000" w:themeColor="text1"/>
          <w:sz w:val="20"/>
          <w:szCs w:val="20"/>
        </w:rPr>
        <w:t xml:space="preserve">     </w:t>
      </w:r>
      <w:r w:rsidRPr="00FB1858">
        <w:rPr>
          <w:rFonts w:eastAsiaTheme="minorEastAsia"/>
          <w:color w:val="000000" w:themeColor="text1"/>
          <w:sz w:val="20"/>
          <w:szCs w:val="20"/>
        </w:rPr>
        <w:tab/>
      </w:r>
      <w:r w:rsidRPr="00FB1858">
        <w:rPr>
          <w:rFonts w:eastAsiaTheme="minorEastAsia"/>
          <w:color w:val="000000" w:themeColor="text1"/>
          <w:sz w:val="20"/>
          <w:szCs w:val="20"/>
        </w:rPr>
        <w:tab/>
      </w:r>
      <w:r w:rsidRPr="00FB1858">
        <w:rPr>
          <w:rFonts w:eastAsiaTheme="minorEastAsia"/>
          <w:color w:val="000000" w:themeColor="text1"/>
          <w:sz w:val="20"/>
          <w:szCs w:val="20"/>
        </w:rPr>
        <w:tab/>
        <w:t>if m=2</w:t>
      </w:r>
    </w:p>
    <w:p w14:paraId="047EF511" w14:textId="77777777"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where</w:t>
      </w:r>
    </w:p>
    <w:p w14:paraId="158C4021" w14:textId="77777777" w:rsidR="002F06E6" w:rsidRPr="00FB1858" w:rsidRDefault="002F06E6" w:rsidP="00FB1858">
      <w:pPr>
        <w:tabs>
          <w:tab w:val="left" w:pos="3700"/>
        </w:tabs>
        <w:spacing w:line="480" w:lineRule="auto"/>
        <w:ind w:firstLine="284"/>
        <w:rPr>
          <w:color w:val="000000" w:themeColor="text1"/>
          <w:sz w:val="20"/>
          <w:szCs w:val="20"/>
        </w:rPr>
      </w:pPr>
      <w:r w:rsidRPr="00FB1858">
        <w:rPr>
          <w:color w:val="000000" w:themeColor="text1"/>
          <w:sz w:val="20"/>
          <w:szCs w:val="20"/>
        </w:rPr>
        <w:t xml:space="preserve">“a </w:t>
      </w:r>
      <w:r w:rsidRPr="00FB1858">
        <w:rPr>
          <w:rFonts w:ascii="Cambria Math" w:eastAsia="MS Mincho" w:hAnsi="Cambria Math" w:cs="Cambria Math" w:hint="eastAsia"/>
          <w:color w:val="000000" w:themeColor="text1"/>
          <w:sz w:val="20"/>
          <w:szCs w:val="20"/>
        </w:rPr>
        <w:t>∧</w:t>
      </w:r>
      <w:r w:rsidRPr="00FB1858">
        <w:rPr>
          <w:color w:val="000000" w:themeColor="text1"/>
          <w:sz w:val="20"/>
          <w:szCs w:val="20"/>
        </w:rPr>
        <w:t xml:space="preserve"> b = </w:t>
      </w:r>
      <w:proofErr w:type="gramStart"/>
      <w:r w:rsidRPr="00FB1858">
        <w:rPr>
          <w:color w:val="000000" w:themeColor="text1"/>
          <w:sz w:val="20"/>
          <w:szCs w:val="20"/>
        </w:rPr>
        <w:t>min(</w:t>
      </w:r>
      <w:proofErr w:type="gramEnd"/>
      <w:r w:rsidRPr="00FB1858">
        <w:rPr>
          <w:color w:val="000000" w:themeColor="text1"/>
          <w:sz w:val="20"/>
          <w:szCs w:val="20"/>
        </w:rPr>
        <w:t>a, b)”;</w:t>
      </w:r>
    </w:p>
    <w:p w14:paraId="4084F93F" w14:textId="77777777" w:rsidR="002F06E6" w:rsidRPr="00FB1858" w:rsidRDefault="002F06E6" w:rsidP="00FB1858">
      <w:pPr>
        <w:tabs>
          <w:tab w:val="left" w:pos="3700"/>
        </w:tabs>
        <w:spacing w:line="480" w:lineRule="auto"/>
        <w:ind w:firstLine="284"/>
        <w:rPr>
          <w:color w:val="000000" w:themeColor="text1"/>
          <w:sz w:val="20"/>
          <w:szCs w:val="20"/>
        </w:rPr>
      </w:pPr>
      <w:r w:rsidRPr="00FB1858">
        <w:rPr>
          <w:color w:val="000000" w:themeColor="text1"/>
          <w:sz w:val="20"/>
          <w:szCs w:val="20"/>
        </w:rPr>
        <w:t xml:space="preserve">“a </w:t>
      </w:r>
      <w:r w:rsidRPr="00FB1858">
        <w:rPr>
          <w:rFonts w:ascii="Cambria Math" w:eastAsia="MS Mincho" w:hAnsi="Cambria Math" w:cs="Cambria Math" w:hint="eastAsia"/>
          <w:color w:val="000000" w:themeColor="text1"/>
          <w:sz w:val="20"/>
          <w:szCs w:val="20"/>
        </w:rPr>
        <w:t>∨</w:t>
      </w:r>
      <w:r w:rsidRPr="00FB1858">
        <w:rPr>
          <w:color w:val="000000" w:themeColor="text1"/>
          <w:sz w:val="20"/>
          <w:szCs w:val="20"/>
        </w:rPr>
        <w:t xml:space="preserve"> b = </w:t>
      </w:r>
      <w:proofErr w:type="gramStart"/>
      <w:r w:rsidRPr="00FB1858">
        <w:rPr>
          <w:color w:val="000000" w:themeColor="text1"/>
          <w:sz w:val="20"/>
          <w:szCs w:val="20"/>
        </w:rPr>
        <w:t>max(</w:t>
      </w:r>
      <w:proofErr w:type="gramEnd"/>
      <w:r w:rsidRPr="00FB1858">
        <w:rPr>
          <w:color w:val="000000" w:themeColor="text1"/>
          <w:sz w:val="20"/>
          <w:szCs w:val="20"/>
        </w:rPr>
        <w:t>a, b)”;</w:t>
      </w:r>
    </w:p>
    <w:p w14:paraId="485AB5C3" w14:textId="18597592" w:rsidR="002F06E6" w:rsidRPr="00FB1858" w:rsidRDefault="002F06E6" w:rsidP="00FB1858">
      <w:pPr>
        <w:tabs>
          <w:tab w:val="left" w:pos="3700"/>
        </w:tabs>
        <w:spacing w:line="480" w:lineRule="auto"/>
        <w:ind w:firstLine="284"/>
        <w:rPr>
          <w:color w:val="000000" w:themeColor="text1"/>
          <w:sz w:val="20"/>
          <w:szCs w:val="20"/>
        </w:rPr>
      </w:pPr>
      <w:r w:rsidRPr="00FB1858">
        <w:rPr>
          <w:color w:val="000000" w:themeColor="text1"/>
          <w:sz w:val="20"/>
          <w:szCs w:val="20"/>
        </w:rPr>
        <w:lastRenderedPageBreak/>
        <w:t>“x! = x× (x ‒ 1) × … × 2 × 1 (</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{"citationID":"5Ex3SCLw","properties":{"formattedCitation":"\\super 7\\nosupersub{}","plainCitation":"7","noteIndex":0},"citationItems":[{"id":1058,"uris":["http://zotero.org/users/921050/items/DQ3A8MJ3"],"uri":["http://zotero.org/users/921050/items/DQ3A8MJ3"],"itemData":{"id":1058,"type":"article-journal","title":"Statistical issues for design and analysis of single-arm multi-stage phase II cancer clinical trials","container-title":"Contemporary Clinical Trials","page":"9-17","volume":"42","source":"PubMed","abstract":"BACKGROUND: Phase II trials have been very widely conducted and published every year for cancer clinical research. In spite of the fast progress in design and analysis methods, single-arm two-stage design is still the most popular for phase II cancer clinical trials. Because of their small sample sizes, statistical methods based on large sample approximation are not appropriate for design and analysis of phase II trials.\nMETHODS: As a prospective clinical research, the analysis method of a phase II trial is predetermined at the design stage and it is analyzed during and at the end of the trial as planned by the design. The analysis method of a trial should be matched with the design method. For two-stage single arm phase II trials, Simon's method has been the standards for choosing an optimal design, but the resulting data have been analyzed and published ignoring the two-stage design aspect with small sample sizes.\nCONCLUSIONS: In this article, we review analysis methods that exactly get along with the exact two-stage design method. We also discuss some statistical methods to improve the existing design and analysis methods for single-arm two-stage phase II trials.","DOI":"10.1016/j.cct.2015.02.007","ISSN":"1559-2030","note":"PMID: 25749311\nPMCID: PMC4450127","journalAbbreviation":"Contemp Clin Trials","language":"eng","author":[{"family":"Jung","given":"Sin-Ho"}],"issued":{"date-parts":[["2015",5]]}}}],"schema":"https://github.com/citation-style-language/schema/raw/master/csl-citation.json"}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7</w:t>
      </w:r>
      <w:r w:rsidRPr="00FB1858">
        <w:rPr>
          <w:color w:val="000000" w:themeColor="text1"/>
          <w:sz w:val="20"/>
          <w:szCs w:val="20"/>
        </w:rPr>
        <w:fldChar w:fldCharType="end"/>
      </w:r>
      <w:r w:rsidRPr="00FB1858">
        <w:rPr>
          <w:color w:val="000000" w:themeColor="text1"/>
          <w:sz w:val="20"/>
          <w:szCs w:val="20"/>
        </w:rPr>
        <w:t>)”;</w:t>
      </w:r>
    </w:p>
    <w:p w14:paraId="5AFBC571" w14:textId="77777777" w:rsidR="002F06E6" w:rsidRPr="00FB1858" w:rsidRDefault="002F06E6" w:rsidP="00FB1858">
      <w:pPr>
        <w:tabs>
          <w:tab w:val="left" w:pos="3700"/>
        </w:tabs>
        <w:spacing w:line="480" w:lineRule="auto"/>
        <w:ind w:firstLine="284"/>
        <w:rPr>
          <w:color w:val="000000" w:themeColor="text1"/>
          <w:sz w:val="20"/>
          <w:szCs w:val="20"/>
        </w:rPr>
      </w:pPr>
      <w:r w:rsidRPr="00FB1858">
        <w:rPr>
          <w:color w:val="000000" w:themeColor="text1"/>
          <w:sz w:val="20"/>
          <w:szCs w:val="20"/>
        </w:rPr>
        <w:t>“b</w:t>
      </w:r>
      <w:r w:rsidRPr="00FB1858">
        <w:rPr>
          <w:color w:val="000000" w:themeColor="text1"/>
          <w:sz w:val="20"/>
          <w:szCs w:val="20"/>
          <w:vertAlign w:val="subscript"/>
        </w:rPr>
        <w:t>1</w:t>
      </w:r>
      <w:r w:rsidRPr="00FB1858">
        <w:rPr>
          <w:color w:val="000000" w:themeColor="text1"/>
          <w:sz w:val="20"/>
          <w:szCs w:val="20"/>
        </w:rPr>
        <w:t xml:space="preserve"> = n</w:t>
      </w:r>
      <w:r w:rsidRPr="00FB1858">
        <w:rPr>
          <w:color w:val="000000" w:themeColor="text1"/>
          <w:sz w:val="20"/>
          <w:szCs w:val="20"/>
          <w:vertAlign w:val="subscript"/>
        </w:rPr>
        <w:t>1</w:t>
      </w:r>
      <w:r w:rsidRPr="00FB1858">
        <w:rPr>
          <w:color w:val="000000" w:themeColor="text1"/>
          <w:sz w:val="20"/>
          <w:szCs w:val="20"/>
        </w:rPr>
        <w:t>+1” for Simon’s two-stage designs and “b</w:t>
      </w:r>
      <w:r w:rsidRPr="00FB1858">
        <w:rPr>
          <w:color w:val="000000" w:themeColor="text1"/>
          <w:sz w:val="20"/>
          <w:szCs w:val="20"/>
          <w:vertAlign w:val="subscript"/>
        </w:rPr>
        <w:t>1</w:t>
      </w:r>
      <w:r w:rsidRPr="00FB1858">
        <w:rPr>
          <w:color w:val="000000" w:themeColor="text1"/>
          <w:sz w:val="20"/>
          <w:szCs w:val="20"/>
        </w:rPr>
        <w:t>” represents the expected number of patients for rejecting “H</w:t>
      </w:r>
      <w:r w:rsidRPr="00FB1858">
        <w:rPr>
          <w:color w:val="000000" w:themeColor="text1"/>
          <w:sz w:val="20"/>
          <w:szCs w:val="20"/>
          <w:vertAlign w:val="subscript"/>
        </w:rPr>
        <w:t>0</w:t>
      </w:r>
      <w:r w:rsidRPr="00FB1858">
        <w:rPr>
          <w:color w:val="000000" w:themeColor="text1"/>
          <w:sz w:val="20"/>
          <w:szCs w:val="20"/>
        </w:rPr>
        <w:t>” at stage one if a two-stage design with both futility and efficacy boundaries.</w:t>
      </w:r>
    </w:p>
    <w:p w14:paraId="07D26475" w14:textId="215FADA4"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 xml:space="preserve">It is interesting to remark that the UMVUE and the MLE are identical if the trial stops after stage one, (i.e. m = 1). For a true RR of p, the probability mass function (PMF) of (M, S), f(m, </w:t>
      </w:r>
      <w:proofErr w:type="spellStart"/>
      <w:r w:rsidRPr="00FB1858">
        <w:rPr>
          <w:color w:val="000000" w:themeColor="text1"/>
          <w:sz w:val="20"/>
          <w:szCs w:val="20"/>
        </w:rPr>
        <w:t>s|p</w:t>
      </w:r>
      <w:proofErr w:type="spellEnd"/>
      <w:r w:rsidRPr="00FB1858">
        <w:rPr>
          <w:color w:val="000000" w:themeColor="text1"/>
          <w:sz w:val="20"/>
          <w:szCs w:val="20"/>
        </w:rPr>
        <w:t xml:space="preserve">) = </w:t>
      </w:r>
      <w:proofErr w:type="spellStart"/>
      <w:r w:rsidRPr="00FB1858">
        <w:rPr>
          <w:color w:val="000000" w:themeColor="text1"/>
          <w:sz w:val="20"/>
          <w:szCs w:val="20"/>
        </w:rPr>
        <w:t>Pr</w:t>
      </w:r>
      <w:proofErr w:type="spellEnd"/>
      <w:r w:rsidRPr="00FB1858">
        <w:rPr>
          <w:color w:val="000000" w:themeColor="text1"/>
          <w:sz w:val="20"/>
          <w:szCs w:val="20"/>
        </w:rPr>
        <w:t>(M = m, S=s), is given as</w:t>
      </w:r>
      <w:r w:rsidR="00AD1141"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{"citationID":"uwbUwen0","properties":{"formattedCitation":"\\super 7\\nosupersub{}","plainCitation":"7","noteIndex":0},"citationItems":[{"id":1058,"uris":["http://zotero.org/users/921050/items/DQ3A8MJ3"],"uri":["http://zotero.org/users/921050/items/DQ3A8MJ3"],"itemData":{"id":1058,"type":"article-journal","title":"Statistical issues for design and analysis of single-arm multi-stage phase II cancer clinical trials","container-title":"Contemporary Clinical Trials","page":"9-17","volume":"42","source":"PubMed","abstract":"BACKGROUND: Phase II trials have been very widely conducted and published every year for cancer clinical research. In spite of the fast progress in design and analysis methods, single-arm two-stage design is still the most popular for phase II cancer clinical trials. Because of their small sample sizes, statistical methods based on large sample approximation are not appropriate for design and analysis of phase II trials.\nMETHODS: As a prospective clinical research, the analysis method of a phase II trial is predetermined at the design stage and it is analyzed during and at the end of the trial as planned by the design. The analysis method of a trial should be matched with the design method. For two-stage single arm phase II trials, Simon's method has been the standards for choosing an optimal design, but the resulting data have been analyzed and published ignoring the two-stage design aspect with small sample sizes.\nCONCLUSIONS: In this article, we review analysis methods that exactly get along with the exact two-stage design method. We also discuss some statistical methods to improve the existing design and analysis methods for single-arm two-stage phase II trials.","DOI":"10.1016/j.cct.2015.02.007","ISSN":"1559-2030","note":"PMID: 25749311\nPMCID: PMC4450127","journalAbbreviation":"Contemp Clin Trials","language":"eng","author":[{"family":"Jung","given":"Sin-Ho"}],"issued":{"date-parts":[["2015",5]]}}}],"schema":"https://github.com/citation-style-language/schema/raw/master/csl-citation.json"}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7</w:t>
      </w:r>
      <w:r w:rsidRPr="00FB1858">
        <w:rPr>
          <w:color w:val="000000" w:themeColor="text1"/>
          <w:sz w:val="20"/>
          <w:szCs w:val="20"/>
        </w:rPr>
        <w:fldChar w:fldCharType="end"/>
      </w:r>
    </w:p>
    <w:p w14:paraId="2D649F44" w14:textId="50E45D27" w:rsidR="002F06E6" w:rsidRPr="00A34C21" w:rsidRDefault="002F06E6" w:rsidP="00A34C21">
      <w:pPr>
        <w:tabs>
          <w:tab w:val="left" w:pos="3700"/>
        </w:tabs>
        <w:spacing w:line="480" w:lineRule="auto"/>
        <w:ind w:firstLine="284"/>
        <w:rPr>
          <w:color w:val="000000" w:themeColor="text1"/>
          <w:sz w:val="20"/>
          <w:szCs w:val="20"/>
        </w:rPr>
      </w:pPr>
    </w:p>
    <w:p w14:paraId="63D67C34" w14:textId="3667CB55" w:rsidR="00A34C21" w:rsidRPr="00A34C21" w:rsidRDefault="00A34C21">
      <w:pPr>
        <w:tabs>
          <w:tab w:val="left" w:pos="3700"/>
        </w:tabs>
        <w:spacing w:line="480" w:lineRule="auto"/>
        <w:ind w:firstLine="284"/>
        <w:rPr>
          <w:color w:val="000000" w:themeColor="text1"/>
          <w:sz w:val="20"/>
          <w:szCs w:val="20"/>
        </w:rPr>
      </w:pPr>
    </w:p>
    <w:p w14:paraId="6939FF3B" w14:textId="77777777" w:rsidR="00A34C21" w:rsidRPr="00FB1858" w:rsidRDefault="00A34C21" w:rsidP="00FB1858">
      <w:pPr>
        <w:tabs>
          <w:tab w:val="left" w:pos="3700"/>
        </w:tabs>
        <w:spacing w:line="480" w:lineRule="auto"/>
        <w:ind w:firstLine="284"/>
        <w:rPr>
          <w:color w:val="000000" w:themeColor="text1"/>
          <w:sz w:val="20"/>
          <w:szCs w:val="20"/>
        </w:rPr>
      </w:pPr>
    </w:p>
    <w:p w14:paraId="083EC77A" w14:textId="583D34EF" w:rsidR="002F06E6" w:rsidRPr="00FB1858" w:rsidRDefault="002F06E6" w:rsidP="00FB1858">
      <w:pPr>
        <w:tabs>
          <w:tab w:val="left" w:pos="3700"/>
        </w:tabs>
        <w:spacing w:line="480" w:lineRule="auto"/>
        <w:rPr>
          <w:color w:val="000000" w:themeColor="text1"/>
          <w:sz w:val="20"/>
          <w:szCs w:val="20"/>
        </w:rPr>
      </w:pPr>
      <w:r w:rsidRPr="00FB1858">
        <w:rPr>
          <w:noProof/>
          <w:color w:val="000000" w:themeColor="text1"/>
          <w:sz w:val="20"/>
          <w:szCs w:val="20"/>
        </w:rPr>
        <mc:AlternateContent>
          <mc:Choice Requires="wps">
            <w:drawing>
              <wp:anchor distT="0" distB="0" distL="114300" distR="114300" simplePos="0" relativeHeight="251672576" behindDoc="0" locked="0" layoutInCell="1" allowOverlap="1" wp14:anchorId="5EB733BB" wp14:editId="35486C65">
                <wp:simplePos x="0" y="0"/>
                <wp:positionH relativeFrom="column">
                  <wp:posOffset>685165</wp:posOffset>
                </wp:positionH>
                <wp:positionV relativeFrom="paragraph">
                  <wp:posOffset>154940</wp:posOffset>
                </wp:positionV>
                <wp:extent cx="190500" cy="787400"/>
                <wp:effectExtent l="38100" t="0" r="19050" b="12700"/>
                <wp:wrapNone/>
                <wp:docPr id="13" name="Abrir llave 13"/>
                <wp:cNvGraphicFramePr/>
                <a:graphic xmlns:a="http://schemas.openxmlformats.org/drawingml/2006/main">
                  <a:graphicData uri="http://schemas.microsoft.com/office/word/2010/wordprocessingShape">
                    <wps:wsp>
                      <wps:cNvSpPr/>
                      <wps:spPr>
                        <a:xfrm>
                          <a:off x="0" y="0"/>
                          <a:ext cx="190500" cy="787400"/>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74271D" id="Abrir llave 13" o:spid="_x0000_s1026" type="#_x0000_t87" style="position:absolute;margin-left:53.95pt;margin-top:12.2pt;width:15pt;height:6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" adj="435" strokecolor="black [3200]" strokeweight=".5pt">
                <v:stroke joinstyle="miter"/>
              </v:shape>
            </w:pict>
          </mc:Fallback>
        </mc:AlternateContent>
      </w:r>
      <w:r w:rsidRPr="00FB1858">
        <w:rPr>
          <w:color w:val="000000" w:themeColor="text1"/>
          <w:sz w:val="20"/>
          <w:szCs w:val="20"/>
        </w:rPr>
        <w:t xml:space="preserve">                          </w:t>
      </w:r>
      <w:proofErr w:type="spellStart"/>
      <w:r w:rsidRPr="00FB1858">
        <w:rPr>
          <w:color w:val="000000" w:themeColor="text1"/>
          <w:sz w:val="20"/>
          <w:szCs w:val="20"/>
        </w:rPr>
        <w:t>p</w:t>
      </w:r>
      <w:r w:rsidRPr="00FB1858">
        <w:rPr>
          <w:color w:val="000000" w:themeColor="text1"/>
          <w:sz w:val="20"/>
          <w:szCs w:val="20"/>
          <w:vertAlign w:val="superscript"/>
        </w:rPr>
        <w:t>s</w:t>
      </w:r>
      <w:proofErr w:type="spellEnd"/>
      <w:r w:rsidRPr="00FB1858">
        <w:rPr>
          <w:color w:val="000000" w:themeColor="text1"/>
          <w:sz w:val="20"/>
          <w:szCs w:val="20"/>
        </w:rPr>
        <w:t>(1-</w:t>
      </w:r>
      <w:proofErr w:type="gramStart"/>
      <w:r w:rsidRPr="00FB1858">
        <w:rPr>
          <w:color w:val="000000" w:themeColor="text1"/>
          <w:sz w:val="20"/>
          <w:szCs w:val="20"/>
        </w:rPr>
        <w:t>p)</w:t>
      </w:r>
      <w:r w:rsidRPr="00FB1858">
        <w:rPr>
          <w:color w:val="000000" w:themeColor="text1"/>
          <w:sz w:val="20"/>
          <w:szCs w:val="20"/>
          <w:vertAlign w:val="superscript"/>
        </w:rPr>
        <w:t>n</w:t>
      </w:r>
      <w:proofErr w:type="gramEnd"/>
      <w:r w:rsidRPr="00FB1858">
        <w:rPr>
          <w:color w:val="000000" w:themeColor="text1"/>
          <w:sz w:val="20"/>
          <w:szCs w:val="20"/>
          <w:vertAlign w:val="superscript"/>
        </w:rPr>
        <w:t>1-s</w:t>
      </w:r>
      <w:r w:rsidRPr="00FB1858">
        <w:rPr>
          <w:color w:val="000000" w:themeColor="text1"/>
          <w:sz w:val="20"/>
          <w:szCs w:val="20"/>
        </w:rPr>
        <w:t xml:space="preserve"> </w:t>
      </w:r>
      <m:oMath>
        <m:d>
          <m:dPr>
            <m:ctrlPr>
              <w:rPr>
                <w:rFonts w:ascii="Cambria Math" w:eastAsiaTheme="minorEastAsia" w:hAnsi="Cambria Math"/>
                <w:i/>
                <w:color w:val="000000" w:themeColor="text1"/>
                <w:sz w:val="20"/>
                <w:szCs w:val="20"/>
              </w:rPr>
            </m:ctrlPr>
          </m:dPr>
          <m:e>
            <m:m>
              <m:mPr>
                <m:mcs>
                  <m:mc>
                    <m:mcPr>
                      <m:count m:val="1"/>
                      <m:mcJc m:val="center"/>
                    </m:mcPr>
                  </m:mc>
                </m:mcs>
                <m:ctrlPr>
                  <w:rPr>
                    <w:rFonts w:ascii="Cambria Math" w:eastAsiaTheme="minorEastAsia" w:hAnsi="Cambria Math"/>
                    <w:i/>
                    <w:color w:val="000000" w:themeColor="text1"/>
                    <w:sz w:val="20"/>
                    <w:szCs w:val="20"/>
                  </w:rPr>
                </m:ctrlPr>
              </m:mPr>
              <m:mr>
                <m:e>
                  <m:r>
                    <w:rPr>
                      <w:rFonts w:ascii="Cambria Math" w:eastAsiaTheme="minorEastAsia" w:hAnsi="Cambria Math"/>
                      <w:color w:val="000000" w:themeColor="text1"/>
                      <w:sz w:val="20"/>
                      <w:szCs w:val="20"/>
                    </w:rPr>
                    <m:t>n1</m:t>
                  </m:r>
                </m:e>
              </m:mr>
              <m:mr>
                <m:e>
                  <m:r>
                    <w:rPr>
                      <w:rFonts w:ascii="Cambria Math" w:eastAsiaTheme="minorEastAsia" w:hAnsi="Cambria Math"/>
                      <w:color w:val="000000" w:themeColor="text1"/>
                      <w:sz w:val="20"/>
                      <w:szCs w:val="20"/>
                    </w:rPr>
                    <m:t>s</m:t>
                  </m:r>
                </m:e>
              </m:mr>
            </m:m>
          </m:e>
        </m:d>
      </m:oMath>
      <w:r w:rsidRPr="00FB1858">
        <w:rPr>
          <w:rFonts w:eastAsiaTheme="minorEastAsia"/>
          <w:color w:val="000000" w:themeColor="text1"/>
          <w:sz w:val="20"/>
          <w:szCs w:val="20"/>
        </w:rPr>
        <w:t xml:space="preserve">                 </w:t>
      </w:r>
      <w:r w:rsidR="00AD1141" w:rsidRPr="00FB1858">
        <w:rPr>
          <w:rFonts w:eastAsiaTheme="minorEastAsia"/>
          <w:color w:val="000000" w:themeColor="text1"/>
          <w:sz w:val="20"/>
          <w:szCs w:val="20"/>
        </w:rPr>
        <w:t xml:space="preserve">                       </w:t>
      </w:r>
      <w:r w:rsidRPr="00FB1858">
        <w:rPr>
          <w:rFonts w:eastAsiaTheme="minorEastAsia"/>
          <w:color w:val="000000" w:themeColor="text1"/>
          <w:sz w:val="20"/>
          <w:szCs w:val="20"/>
        </w:rPr>
        <w:t>if m=1, 0 ≤ s ≤ a</w:t>
      </w:r>
      <w:r w:rsidRPr="00FB1858">
        <w:rPr>
          <w:rFonts w:eastAsiaTheme="minorEastAsia"/>
          <w:color w:val="000000" w:themeColor="text1"/>
          <w:sz w:val="20"/>
          <w:szCs w:val="20"/>
          <w:vertAlign w:val="subscript"/>
        </w:rPr>
        <w:t>1</w:t>
      </w:r>
      <w:r w:rsidRPr="00FB1858">
        <w:rPr>
          <w:rFonts w:eastAsiaTheme="minorEastAsia"/>
          <w:color w:val="000000" w:themeColor="text1"/>
          <w:sz w:val="20"/>
          <w:szCs w:val="20"/>
        </w:rPr>
        <w:t xml:space="preserve"> or b</w:t>
      </w:r>
      <w:r w:rsidRPr="00FB1858">
        <w:rPr>
          <w:rFonts w:eastAsiaTheme="minorEastAsia"/>
          <w:color w:val="000000" w:themeColor="text1"/>
          <w:sz w:val="20"/>
          <w:szCs w:val="20"/>
          <w:vertAlign w:val="subscript"/>
        </w:rPr>
        <w:t>1</w:t>
      </w:r>
      <w:r w:rsidRPr="00FB1858">
        <w:rPr>
          <w:rFonts w:eastAsiaTheme="minorEastAsia"/>
          <w:color w:val="000000" w:themeColor="text1"/>
          <w:sz w:val="20"/>
          <w:szCs w:val="20"/>
        </w:rPr>
        <w:t xml:space="preserve"> or b=1,</w:t>
      </w:r>
      <w:r w:rsidRPr="00FB1858">
        <w:rPr>
          <w:rFonts w:eastAsiaTheme="minorEastAsia"/>
          <w:color w:val="000000" w:themeColor="text1"/>
          <w:sz w:val="20"/>
          <w:szCs w:val="20"/>
          <w:vertAlign w:val="subscript"/>
        </w:rPr>
        <w:t>1</w:t>
      </w:r>
    </w:p>
    <w:p w14:paraId="6B7749A4" w14:textId="4ABD204D"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f(</w:t>
      </w:r>
      <w:proofErr w:type="spellStart"/>
      <w:proofErr w:type="gramStart"/>
      <w:r w:rsidRPr="00FB1858">
        <w:rPr>
          <w:color w:val="000000" w:themeColor="text1"/>
          <w:sz w:val="20"/>
          <w:szCs w:val="20"/>
        </w:rPr>
        <w:t>m,s</w:t>
      </w:r>
      <w:proofErr w:type="gramEnd"/>
      <w:r w:rsidRPr="00FB1858">
        <w:rPr>
          <w:color w:val="000000" w:themeColor="text1"/>
          <w:sz w:val="20"/>
          <w:szCs w:val="20"/>
        </w:rPr>
        <w:t>|p</w:t>
      </w:r>
      <w:proofErr w:type="spellEnd"/>
      <w:r w:rsidRPr="00FB1858">
        <w:rPr>
          <w:color w:val="000000" w:themeColor="text1"/>
          <w:sz w:val="20"/>
          <w:szCs w:val="20"/>
        </w:rPr>
        <w:t xml:space="preserve">) = </w:t>
      </w:r>
      <w:r w:rsidRPr="00FB1858">
        <w:rPr>
          <w:color w:val="000000" w:themeColor="text1"/>
          <w:sz w:val="20"/>
          <w:szCs w:val="20"/>
        </w:rPr>
        <w:tab/>
      </w:r>
      <w:r w:rsidRPr="00FB1858">
        <w:rPr>
          <w:color w:val="000000" w:themeColor="text1"/>
          <w:sz w:val="20"/>
          <w:szCs w:val="20"/>
        </w:rPr>
        <w:tab/>
      </w:r>
      <w:r w:rsidRPr="00FB1858">
        <w:rPr>
          <w:color w:val="000000" w:themeColor="text1"/>
          <w:sz w:val="20"/>
          <w:szCs w:val="20"/>
        </w:rPr>
        <w:tab/>
      </w:r>
      <w:r w:rsidRPr="00FB1858">
        <w:rPr>
          <w:color w:val="000000" w:themeColor="text1"/>
          <w:sz w:val="20"/>
          <w:szCs w:val="20"/>
        </w:rPr>
        <w:tab/>
      </w:r>
      <w:r w:rsidRPr="00FB1858">
        <w:rPr>
          <w:color w:val="000000" w:themeColor="text1"/>
          <w:sz w:val="20"/>
          <w:szCs w:val="20"/>
        </w:rPr>
        <w:tab/>
      </w:r>
      <w:r w:rsidR="00AD1141" w:rsidRPr="00FB1858">
        <w:rPr>
          <w:color w:val="000000" w:themeColor="text1"/>
          <w:sz w:val="20"/>
          <w:szCs w:val="20"/>
        </w:rPr>
        <w:tab/>
      </w:r>
      <w:r w:rsidRPr="00FB1858">
        <w:rPr>
          <w:color w:val="000000" w:themeColor="text1"/>
          <w:sz w:val="20"/>
          <w:szCs w:val="20"/>
        </w:rPr>
        <w:t>(</w:t>
      </w:r>
      <w:r w:rsidRPr="00FB1858">
        <w:rPr>
          <w:rFonts w:eastAsiaTheme="minorEastAsia"/>
          <w:b/>
          <w:color w:val="000000" w:themeColor="text1"/>
          <w:sz w:val="20"/>
          <w:szCs w:val="20"/>
        </w:rPr>
        <w:t xml:space="preserve">Equation </w:t>
      </w:r>
      <w:r w:rsidRPr="00FB1858">
        <w:rPr>
          <w:b/>
          <w:color w:val="000000" w:themeColor="text1"/>
          <w:sz w:val="20"/>
          <w:szCs w:val="20"/>
        </w:rPr>
        <w:t>2</w:t>
      </w:r>
      <w:r w:rsidRPr="00FB1858">
        <w:rPr>
          <w:color w:val="000000" w:themeColor="text1"/>
          <w:sz w:val="20"/>
          <w:szCs w:val="20"/>
        </w:rPr>
        <w:t>)</w:t>
      </w:r>
    </w:p>
    <w:p w14:paraId="5A510CDE" w14:textId="1E9FC607"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 xml:space="preserve">                         </w:t>
      </w:r>
      <w:proofErr w:type="spellStart"/>
      <w:r w:rsidRPr="00FB1858">
        <w:rPr>
          <w:color w:val="000000" w:themeColor="text1"/>
          <w:sz w:val="20"/>
          <w:szCs w:val="20"/>
        </w:rPr>
        <w:t>p</w:t>
      </w:r>
      <w:r w:rsidRPr="00FB1858">
        <w:rPr>
          <w:color w:val="000000" w:themeColor="text1"/>
          <w:sz w:val="20"/>
          <w:szCs w:val="20"/>
          <w:vertAlign w:val="superscript"/>
        </w:rPr>
        <w:t>s</w:t>
      </w:r>
      <w:proofErr w:type="spellEnd"/>
      <w:r w:rsidRPr="00FB1858">
        <w:rPr>
          <w:color w:val="000000" w:themeColor="text1"/>
          <w:sz w:val="20"/>
          <w:szCs w:val="20"/>
        </w:rPr>
        <w:t>(1-p)</w:t>
      </w:r>
      <w:r w:rsidRPr="00FB1858">
        <w:rPr>
          <w:color w:val="000000" w:themeColor="text1"/>
          <w:sz w:val="20"/>
          <w:szCs w:val="20"/>
          <w:vertAlign w:val="superscript"/>
        </w:rPr>
        <w:t>n1+n2-s</w:t>
      </w:r>
      <w:r w:rsidRPr="00FB1858">
        <w:rPr>
          <w:color w:val="000000" w:themeColor="text1"/>
          <w:sz w:val="20"/>
          <w:szCs w:val="20"/>
        </w:rPr>
        <w:t xml:space="preserve"> </w:t>
      </w:r>
      <m:oMath>
        <m:nary>
          <m:naryPr>
            <m:chr m:val="∑"/>
            <m:limLoc m:val="undOvr"/>
            <m:ctrlPr>
              <w:rPr>
                <w:rFonts w:ascii="Cambria Math" w:eastAsiaTheme="minorEastAsia" w:hAnsi="Cambria Math"/>
                <w:i/>
                <w:color w:val="000000" w:themeColor="text1"/>
                <w:sz w:val="20"/>
                <w:szCs w:val="20"/>
              </w:rPr>
            </m:ctrlPr>
          </m:naryPr>
          <m:sub>
            <m:r>
              <m:rPr>
                <m:sty m:val="p"/>
              </m:rPr>
              <w:rPr>
                <w:rFonts w:ascii="Cambria Math" w:hAnsi="Cambria Math"/>
                <w:color w:val="000000" w:themeColor="text1"/>
                <w:sz w:val="20"/>
                <w:szCs w:val="20"/>
              </w:rPr>
              <m:t>x1=(a1+1)</m:t>
            </m:r>
          </m:sub>
          <m:sup>
            <m:r>
              <m:rPr>
                <m:sty m:val="p"/>
              </m:rPr>
              <w:rPr>
                <w:rFonts w:ascii="Cambria Math" w:hAnsi="Cambria Math"/>
                <w:color w:val="000000" w:themeColor="text1"/>
                <w:sz w:val="20"/>
                <w:szCs w:val="20"/>
              </w:rPr>
              <m:t>s ∧(b1-1</m:t>
            </m:r>
          </m:sup>
          <m:e>
            <m:d>
              <m:dPr>
                <m:ctrlPr>
                  <w:rPr>
                    <w:rFonts w:ascii="Cambria Math" w:eastAsiaTheme="minorEastAsia" w:hAnsi="Cambria Math"/>
                    <w:i/>
                    <w:color w:val="000000" w:themeColor="text1"/>
                    <w:sz w:val="20"/>
                    <w:szCs w:val="20"/>
                  </w:rPr>
                </m:ctrlPr>
              </m:dPr>
              <m:e>
                <m:m>
                  <m:mPr>
                    <m:mcs>
                      <m:mc>
                        <m:mcPr>
                          <m:count m:val="1"/>
                          <m:mcJc m:val="center"/>
                        </m:mcPr>
                      </m:mc>
                    </m:mcs>
                    <m:ctrlPr>
                      <w:rPr>
                        <w:rFonts w:ascii="Cambria Math" w:eastAsiaTheme="minorEastAsia" w:hAnsi="Cambria Math"/>
                        <w:i/>
                        <w:color w:val="000000" w:themeColor="text1"/>
                        <w:sz w:val="20"/>
                        <w:szCs w:val="20"/>
                      </w:rPr>
                    </m:ctrlPr>
                  </m:mPr>
                  <m:mr>
                    <m:e>
                      <m:r>
                        <w:rPr>
                          <w:rFonts w:ascii="Cambria Math" w:eastAsiaTheme="minorEastAsia" w:hAnsi="Cambria Math"/>
                          <w:color w:val="000000" w:themeColor="text1"/>
                          <w:sz w:val="20"/>
                          <w:szCs w:val="20"/>
                        </w:rPr>
                        <m:t>n1</m:t>
                      </m:r>
                    </m:e>
                  </m:mr>
                  <m:mr>
                    <m:e>
                      <m:r>
                        <w:rPr>
                          <w:rFonts w:ascii="Cambria Math" w:eastAsiaTheme="minorEastAsia" w:hAnsi="Cambria Math"/>
                          <w:color w:val="000000" w:themeColor="text1"/>
                          <w:sz w:val="20"/>
                          <w:szCs w:val="20"/>
                        </w:rPr>
                        <m:t>x1</m:t>
                      </m:r>
                    </m:e>
                  </m:mr>
                </m:m>
              </m:e>
            </m:d>
            <m:d>
              <m:dPr>
                <m:ctrlPr>
                  <w:rPr>
                    <w:rFonts w:ascii="Cambria Math" w:eastAsiaTheme="minorEastAsia" w:hAnsi="Cambria Math"/>
                    <w:i/>
                    <w:color w:val="000000" w:themeColor="text1"/>
                    <w:sz w:val="20"/>
                    <w:szCs w:val="20"/>
                  </w:rPr>
                </m:ctrlPr>
              </m:dPr>
              <m:e>
                <m:m>
                  <m:mPr>
                    <m:mcs>
                      <m:mc>
                        <m:mcPr>
                          <m:count m:val="1"/>
                          <m:mcJc m:val="center"/>
                        </m:mcPr>
                      </m:mc>
                    </m:mcs>
                    <m:ctrlPr>
                      <w:rPr>
                        <w:rFonts w:ascii="Cambria Math" w:eastAsiaTheme="minorEastAsia" w:hAnsi="Cambria Math"/>
                        <w:i/>
                        <w:color w:val="000000" w:themeColor="text1"/>
                        <w:sz w:val="20"/>
                        <w:szCs w:val="20"/>
                      </w:rPr>
                    </m:ctrlPr>
                  </m:mPr>
                  <m:mr>
                    <m:e>
                      <m:r>
                        <w:rPr>
                          <w:rFonts w:ascii="Cambria Math" w:eastAsiaTheme="minorEastAsia" w:hAnsi="Cambria Math"/>
                          <w:color w:val="000000" w:themeColor="text1"/>
                          <w:sz w:val="20"/>
                          <w:szCs w:val="20"/>
                        </w:rPr>
                        <m:t>n2</m:t>
                      </m:r>
                    </m:e>
                  </m:mr>
                  <m:mr>
                    <m:e>
                      <m:r>
                        <w:rPr>
                          <w:rFonts w:ascii="Cambria Math" w:eastAsiaTheme="minorEastAsia" w:hAnsi="Cambria Math"/>
                          <w:color w:val="000000" w:themeColor="text1"/>
                          <w:sz w:val="20"/>
                          <w:szCs w:val="20"/>
                        </w:rPr>
                        <m:t>s-x1</m:t>
                      </m:r>
                    </m:e>
                  </m:mr>
                </m:m>
              </m:e>
            </m:d>
          </m:e>
        </m:nary>
      </m:oMath>
      <w:r w:rsidRPr="00FB1858">
        <w:rPr>
          <w:color w:val="000000" w:themeColor="text1"/>
          <w:sz w:val="20"/>
          <w:szCs w:val="20"/>
        </w:rPr>
        <w:t xml:space="preserve">  </w:t>
      </w:r>
      <w:r w:rsidR="00AD1141" w:rsidRPr="00FB1858">
        <w:rPr>
          <w:color w:val="000000" w:themeColor="text1"/>
          <w:sz w:val="20"/>
          <w:szCs w:val="20"/>
        </w:rPr>
        <w:t xml:space="preserve">    </w:t>
      </w:r>
      <w:r w:rsidRPr="00FB1858">
        <w:rPr>
          <w:color w:val="000000" w:themeColor="text1"/>
          <w:sz w:val="20"/>
          <w:szCs w:val="20"/>
        </w:rPr>
        <w:tab/>
      </w:r>
      <w:r w:rsidR="00AD1141" w:rsidRPr="00FB1858">
        <w:rPr>
          <w:color w:val="000000" w:themeColor="text1"/>
          <w:sz w:val="20"/>
          <w:szCs w:val="20"/>
        </w:rPr>
        <w:t xml:space="preserve">   </w:t>
      </w:r>
      <w:r w:rsidRPr="00FB1858">
        <w:rPr>
          <w:rFonts w:eastAsiaTheme="minorEastAsia"/>
          <w:color w:val="000000" w:themeColor="text1"/>
          <w:sz w:val="20"/>
          <w:szCs w:val="20"/>
        </w:rPr>
        <w:t>if m=2, a</w:t>
      </w:r>
      <w:r w:rsidRPr="00FB1858">
        <w:rPr>
          <w:rFonts w:eastAsiaTheme="minorEastAsia"/>
          <w:color w:val="000000" w:themeColor="text1"/>
          <w:sz w:val="20"/>
          <w:szCs w:val="20"/>
          <w:vertAlign w:val="subscript"/>
        </w:rPr>
        <w:t>1</w:t>
      </w:r>
      <w:r w:rsidRPr="00FB1858">
        <w:rPr>
          <w:rFonts w:eastAsiaTheme="minorEastAsia"/>
          <w:color w:val="000000" w:themeColor="text1"/>
          <w:sz w:val="20"/>
          <w:szCs w:val="20"/>
        </w:rPr>
        <w:t>+1  s ≤ b</w:t>
      </w:r>
      <w:r w:rsidRPr="00FB1858">
        <w:rPr>
          <w:rFonts w:eastAsiaTheme="minorEastAsia"/>
          <w:color w:val="000000" w:themeColor="text1"/>
          <w:sz w:val="20"/>
          <w:szCs w:val="20"/>
          <w:vertAlign w:val="subscript"/>
        </w:rPr>
        <w:t>1</w:t>
      </w:r>
      <w:r w:rsidRPr="00FB1858">
        <w:rPr>
          <w:rFonts w:eastAsiaTheme="minorEastAsia"/>
          <w:color w:val="000000" w:themeColor="text1"/>
          <w:sz w:val="20"/>
          <w:szCs w:val="20"/>
        </w:rPr>
        <w:t xml:space="preserve"> – 1+ n</w:t>
      </w:r>
      <w:r w:rsidRPr="00FB1858">
        <w:rPr>
          <w:rFonts w:eastAsiaTheme="minorEastAsia"/>
          <w:color w:val="000000" w:themeColor="text1"/>
          <w:sz w:val="20"/>
          <w:szCs w:val="20"/>
          <w:vertAlign w:val="subscript"/>
        </w:rPr>
        <w:t>2</w:t>
      </w:r>
    </w:p>
    <w:p w14:paraId="726776E3" w14:textId="77777777" w:rsidR="002F06E6" w:rsidRPr="00FB1858" w:rsidRDefault="002F06E6" w:rsidP="00FB1858">
      <w:pPr>
        <w:tabs>
          <w:tab w:val="left" w:pos="3700"/>
        </w:tabs>
        <w:spacing w:line="480" w:lineRule="auto"/>
        <w:rPr>
          <w:color w:val="000000" w:themeColor="text1"/>
          <w:sz w:val="20"/>
          <w:szCs w:val="20"/>
        </w:rPr>
      </w:pPr>
    </w:p>
    <w:p w14:paraId="0648E54B" w14:textId="77777777"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 xml:space="preserve">Since the UMVUE of p is a function of (M, S), its PMF is derived from </w:t>
      </w:r>
      <w:proofErr w:type="gramStart"/>
      <w:r w:rsidRPr="00FB1858">
        <w:rPr>
          <w:color w:val="000000" w:themeColor="text1"/>
          <w:sz w:val="20"/>
          <w:szCs w:val="20"/>
        </w:rPr>
        <w:t>f(</w:t>
      </w:r>
      <w:proofErr w:type="gramEnd"/>
      <w:r w:rsidRPr="00FB1858">
        <w:rPr>
          <w:color w:val="000000" w:themeColor="text1"/>
          <w:sz w:val="20"/>
          <w:szCs w:val="20"/>
        </w:rPr>
        <w:t xml:space="preserve">m, </w:t>
      </w:r>
      <w:proofErr w:type="spellStart"/>
      <w:r w:rsidRPr="00FB1858">
        <w:rPr>
          <w:color w:val="000000" w:themeColor="text1"/>
          <w:sz w:val="20"/>
          <w:szCs w:val="20"/>
        </w:rPr>
        <w:t>s|p</w:t>
      </w:r>
      <w:proofErr w:type="spellEnd"/>
      <w:r w:rsidRPr="00FB1858">
        <w:rPr>
          <w:color w:val="000000" w:themeColor="text1"/>
          <w:sz w:val="20"/>
          <w:szCs w:val="20"/>
        </w:rPr>
        <w:t>).</w:t>
      </w:r>
    </w:p>
    <w:p w14:paraId="3591276B" w14:textId="77777777"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Through a phase II trial, we intend to conduct a statistical test to reject or accept its therapeutic potential. If we reject or fail to reject the null hypothesis, we should be able to provide a p-value as a measure of how much evidence the decision is based on against the null hypothesis.</w:t>
      </w:r>
    </w:p>
    <w:p w14:paraId="1CA1FE0D" w14:textId="3472746F"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 xml:space="preserve">By using the stochastic ordering of the UMVUE, Jung </w:t>
      </w:r>
      <w:r w:rsidRPr="00FB1858">
        <w:rPr>
          <w:i/>
          <w:color w:val="000000" w:themeColor="text1"/>
          <w:sz w:val="20"/>
          <w:szCs w:val="20"/>
        </w:rPr>
        <w:t>et al.</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{"citationID":"ZXxroDZB","properties":{"formattedCitation":"\\super 8\\nosupersub{}","plainCitation":"8","noteIndex":0},"citationItems":[{"id":1055,"uris":["http://zotero.org/users/921050/items/6336FVGV"],"uri":["http://zotero.org/users/921050/items/6336FVGV"],"itemData":{"id":1055,"type":"article-journal","title":"P-value calculation for multistage phase II cancer clinical trials","container-title":"Journal of Biopharmaceutical Statistics","page":"765-775; discussion 777-783","volume":"16","issue":"6","source":"PubMed","abstract":"Due to ethical and practical issues, clinical trials are conducted in multiple stages, but the reported p-values often fail to reflect the design aspect of the trials. We investigate some approaches to p-value calculation in analyzing multi-stage Phase II clinical trials that have a binary variable, such as response, as the primary endpoint. The sample space consists of the paired outcomes of the stopping stage and the number of responses, which jointly define a complete and sufficient statistic for the true binomial proportion. Calculating a p-value requires an ordering of the paired outcomes so that outcomes more extreme than the observed can be identified. We consider the orderings based on the maximum likelihood estimator and the uniformly minimum variance unbiased estimator. We will compare, using some examples, the p-values based on these alternative orderings and the one ignoring the multistage design aspect of phase II trials.","DOI":"10.1080/10543400600825645","ISSN":"1054-3406","note":"PMID: 17146978","journalAbbreviation":"J Biopharm Stat","language":"eng","author":[{"family":"Jung","given":"Sin-Ho"},{"family":"Owzar","given":"Kouros"},{"family":"George","given":"Stephen L."},{"family":"Lee","given":"Taiyeong"}],"issued":{"date-parts":[["2006"]]}}}],"schema":"https://github.com/citation-style-language/schema/raw/master/csl-citation.json"}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8</w:t>
      </w:r>
      <w:r w:rsidRPr="00FB1858">
        <w:rPr>
          <w:color w:val="000000" w:themeColor="text1"/>
          <w:sz w:val="20"/>
          <w:szCs w:val="20"/>
        </w:rPr>
        <w:fldChar w:fldCharType="end"/>
      </w:r>
      <w:r w:rsidRPr="00FB1858">
        <w:rPr>
          <w:color w:val="000000" w:themeColor="text1"/>
          <w:sz w:val="20"/>
          <w:szCs w:val="20"/>
        </w:rPr>
        <w:t xml:space="preserve"> proposed a p-value method for two-stage phase II clinical trials. </w:t>
      </w:r>
      <w:r w:rsidR="00536048" w:rsidRPr="00FB1858">
        <w:rPr>
          <w:color w:val="000000" w:themeColor="text1"/>
          <w:sz w:val="20"/>
          <w:szCs w:val="20"/>
        </w:rPr>
        <w:t>A</w:t>
      </w:r>
      <w:r w:rsidRPr="00FB1858">
        <w:rPr>
          <w:color w:val="000000" w:themeColor="text1"/>
          <w:sz w:val="20"/>
          <w:szCs w:val="20"/>
        </w:rPr>
        <w:t xml:space="preserve"> p-value is defined as the probability of observing an extreme test statistic value toward the direction of H1 when H0 is true,</w:t>
      </w:r>
      <w:r w:rsidR="00536048" w:rsidRPr="00FB1858">
        <w:rPr>
          <w:color w:val="000000" w:themeColor="text1"/>
          <w:sz w:val="20"/>
          <w:szCs w:val="20"/>
        </w:rPr>
        <w:t xml:space="preserve"> so</w:t>
      </w:r>
      <w:r w:rsidRPr="00FB1858">
        <w:rPr>
          <w:color w:val="000000" w:themeColor="text1"/>
          <w:sz w:val="20"/>
          <w:szCs w:val="20"/>
        </w:rPr>
        <w:t xml:space="preserve"> they propose calculating the probability of observing a UMVUE value larger than that obtained from the study under H0. Let p˜ denote the UMVUE for the RR observed in a two-stage phase II trial specified by (a</w:t>
      </w:r>
      <w:r w:rsidRPr="00FB1858">
        <w:rPr>
          <w:color w:val="000000" w:themeColor="text1"/>
          <w:sz w:val="20"/>
          <w:szCs w:val="20"/>
          <w:vertAlign w:val="subscript"/>
        </w:rPr>
        <w:t>1</w:t>
      </w:r>
      <w:r w:rsidRPr="00FB1858">
        <w:rPr>
          <w:color w:val="000000" w:themeColor="text1"/>
          <w:sz w:val="20"/>
          <w:szCs w:val="20"/>
        </w:rPr>
        <w:t>, b</w:t>
      </w:r>
      <w:r w:rsidRPr="00FB1858">
        <w:rPr>
          <w:color w:val="000000" w:themeColor="text1"/>
          <w:sz w:val="20"/>
          <w:szCs w:val="20"/>
          <w:vertAlign w:val="subscript"/>
        </w:rPr>
        <w:t>1</w:t>
      </w:r>
      <w:r w:rsidRPr="00FB1858">
        <w:rPr>
          <w:color w:val="000000" w:themeColor="text1"/>
          <w:sz w:val="20"/>
          <w:szCs w:val="20"/>
        </w:rPr>
        <w:t>, a, n</w:t>
      </w:r>
      <w:r w:rsidRPr="00FB1858">
        <w:rPr>
          <w:color w:val="000000" w:themeColor="text1"/>
          <w:sz w:val="20"/>
          <w:szCs w:val="20"/>
          <w:vertAlign w:val="subscript"/>
        </w:rPr>
        <w:t>1</w:t>
      </w:r>
      <w:r w:rsidRPr="00FB1858">
        <w:rPr>
          <w:color w:val="000000" w:themeColor="text1"/>
          <w:sz w:val="20"/>
          <w:szCs w:val="20"/>
        </w:rPr>
        <w:t>, n</w:t>
      </w:r>
      <w:r w:rsidRPr="00FB1858">
        <w:rPr>
          <w:color w:val="000000" w:themeColor="text1"/>
          <w:sz w:val="20"/>
          <w:szCs w:val="20"/>
          <w:vertAlign w:val="subscript"/>
        </w:rPr>
        <w:t>2</w:t>
      </w:r>
      <w:r w:rsidRPr="00FB1858">
        <w:rPr>
          <w:color w:val="000000" w:themeColor="text1"/>
          <w:sz w:val="20"/>
          <w:szCs w:val="20"/>
        </w:rPr>
        <w:t xml:space="preserve">). Given (M, S) = (m, s), p-value = </w:t>
      </w:r>
      <w:proofErr w:type="spellStart"/>
      <w:proofErr w:type="gramStart"/>
      <w:r w:rsidRPr="00FB1858">
        <w:rPr>
          <w:color w:val="000000" w:themeColor="text1"/>
          <w:sz w:val="20"/>
          <w:szCs w:val="20"/>
        </w:rPr>
        <w:t>Pr</w:t>
      </w:r>
      <w:proofErr w:type="spellEnd"/>
      <w:r w:rsidRPr="00FB1858">
        <w:rPr>
          <w:color w:val="000000" w:themeColor="text1"/>
          <w:sz w:val="20"/>
          <w:szCs w:val="20"/>
        </w:rPr>
        <w:t>{</w:t>
      </w:r>
      <w:proofErr w:type="gramEnd"/>
      <w:r w:rsidRPr="00FB1858">
        <w:rPr>
          <w:color w:val="000000" w:themeColor="text1"/>
          <w:sz w:val="20"/>
          <w:szCs w:val="20"/>
        </w:rPr>
        <w:t>p˜ (M, S) ≥ p˜ (m, s)|p</w:t>
      </w:r>
      <w:r w:rsidRPr="00FB1858">
        <w:rPr>
          <w:color w:val="000000" w:themeColor="text1"/>
          <w:sz w:val="20"/>
          <w:szCs w:val="20"/>
          <w:vertAlign w:val="subscript"/>
        </w:rPr>
        <w:t>0</w:t>
      </w:r>
      <w:r w:rsidRPr="00FB1858">
        <w:rPr>
          <w:color w:val="000000" w:themeColor="text1"/>
          <w:sz w:val="20"/>
          <w:szCs w:val="20"/>
        </w:rPr>
        <w:t>} based on UMVUE can be calculated as follows:</w:t>
      </w:r>
    </w:p>
    <w:p w14:paraId="342427E1" w14:textId="77777777" w:rsidR="00AD1141" w:rsidRPr="00FB1858" w:rsidRDefault="00AD1141" w:rsidP="00FB1858">
      <w:pPr>
        <w:tabs>
          <w:tab w:val="left" w:pos="3700"/>
        </w:tabs>
        <w:spacing w:line="480" w:lineRule="auto"/>
        <w:rPr>
          <w:color w:val="000000" w:themeColor="text1"/>
          <w:sz w:val="20"/>
          <w:szCs w:val="20"/>
        </w:rPr>
      </w:pPr>
    </w:p>
    <w:p w14:paraId="0D9C0BD2" w14:textId="3246A0C5" w:rsidR="002F06E6" w:rsidRPr="00FB1858" w:rsidRDefault="002F06E6" w:rsidP="00FB1858">
      <w:pPr>
        <w:tabs>
          <w:tab w:val="left" w:pos="3700"/>
        </w:tabs>
        <w:spacing w:line="480" w:lineRule="auto"/>
        <w:rPr>
          <w:rFonts w:eastAsiaTheme="minorEastAsia"/>
          <w:color w:val="000000" w:themeColor="text1"/>
          <w:sz w:val="20"/>
          <w:szCs w:val="20"/>
        </w:rPr>
      </w:pPr>
      <w:r w:rsidRPr="00FB1858">
        <w:rPr>
          <w:color w:val="000000" w:themeColor="text1"/>
          <w:sz w:val="20"/>
          <w:szCs w:val="20"/>
        </w:rPr>
        <w:t xml:space="preserve">                     </w:t>
      </w:r>
      <m:oMath>
        <m:nary>
          <m:naryPr>
            <m:chr m:val="∑"/>
            <m:limLoc m:val="undOvr"/>
            <m:ctrlPr>
              <w:rPr>
                <w:rFonts w:ascii="Cambria Math" w:eastAsiaTheme="minorEastAsia" w:hAnsi="Cambria Math"/>
                <w:i/>
                <w:color w:val="000000" w:themeColor="text1"/>
                <w:sz w:val="20"/>
                <w:szCs w:val="20"/>
              </w:rPr>
            </m:ctrlPr>
          </m:naryPr>
          <m:sub>
            <m:r>
              <m:rPr>
                <m:sty m:val="p"/>
              </m:rPr>
              <w:rPr>
                <w:rFonts w:ascii="Cambria Math" w:hAnsi="Cambria Math"/>
                <w:color w:val="000000" w:themeColor="text1"/>
                <w:sz w:val="20"/>
                <w:szCs w:val="20"/>
              </w:rPr>
              <m:t>j=s</m:t>
            </m:r>
          </m:sub>
          <m:sup>
            <m:r>
              <m:rPr>
                <m:sty m:val="p"/>
              </m:rPr>
              <w:rPr>
                <w:rFonts w:ascii="Cambria Math" w:hAnsi="Cambria Math"/>
                <w:color w:val="000000" w:themeColor="text1"/>
                <w:sz w:val="20"/>
                <w:szCs w:val="20"/>
              </w:rPr>
              <m:t>n1</m:t>
            </m:r>
          </m:sup>
          <m:e>
            <m:r>
              <w:rPr>
                <w:rFonts w:ascii="Cambria Math" w:eastAsiaTheme="minorEastAsia" w:hAnsi="Cambria Math"/>
                <w:color w:val="000000" w:themeColor="text1"/>
                <w:sz w:val="20"/>
                <w:szCs w:val="20"/>
              </w:rPr>
              <m:t>f</m:t>
            </m:r>
            <m:d>
              <m:dPr>
                <m:ctrlPr>
                  <w:rPr>
                    <w:rFonts w:ascii="Cambria Math" w:eastAsiaTheme="minorEastAsia" w:hAnsi="Cambria Math"/>
                    <w:i/>
                    <w:color w:val="000000" w:themeColor="text1"/>
                    <w:sz w:val="20"/>
                    <w:szCs w:val="20"/>
                  </w:rPr>
                </m:ctrlPr>
              </m:dPr>
              <m:e>
                <m:r>
                  <w:rPr>
                    <w:rFonts w:ascii="Cambria Math" w:eastAsiaTheme="minorEastAsia" w:hAnsi="Cambria Math"/>
                    <w:color w:val="000000" w:themeColor="text1"/>
                    <w:sz w:val="20"/>
                    <w:szCs w:val="20"/>
                  </w:rPr>
                  <m:t>1,j|p0</m:t>
                </m:r>
              </m:e>
            </m:d>
          </m:e>
        </m:nary>
      </m:oMath>
      <w:r w:rsidRPr="00FB1858">
        <w:rPr>
          <w:rFonts w:eastAsiaTheme="minorEastAsia"/>
          <w:color w:val="000000" w:themeColor="text1"/>
          <w:sz w:val="20"/>
          <w:szCs w:val="20"/>
        </w:rPr>
        <w:t xml:space="preserve">                       </w:t>
      </w:r>
      <w:r w:rsidR="006B107E" w:rsidRPr="00FB1858">
        <w:rPr>
          <w:rFonts w:eastAsiaTheme="minorEastAsia"/>
          <w:color w:val="000000" w:themeColor="text1"/>
          <w:sz w:val="20"/>
          <w:szCs w:val="20"/>
        </w:rPr>
        <w:t xml:space="preserve">                </w:t>
      </w:r>
      <w:r w:rsidRPr="00FB1858">
        <w:rPr>
          <w:rFonts w:eastAsiaTheme="minorEastAsia"/>
          <w:color w:val="000000" w:themeColor="text1"/>
          <w:sz w:val="20"/>
          <w:szCs w:val="20"/>
        </w:rPr>
        <w:t>if m = 1, s</w:t>
      </w:r>
      <w:r w:rsidRPr="00FB1858">
        <w:rPr>
          <w:rFonts w:eastAsiaTheme="minorEastAsia"/>
          <w:color w:val="000000" w:themeColor="text1"/>
          <w:sz w:val="20"/>
          <w:szCs w:val="20"/>
          <w:vertAlign w:val="subscript"/>
        </w:rPr>
        <w:t>1</w:t>
      </w:r>
    </w:p>
    <w:p w14:paraId="367E3BA0" w14:textId="3E78B16A" w:rsidR="002F06E6" w:rsidRPr="00FB1858" w:rsidRDefault="002F06E6" w:rsidP="00FB1858">
      <w:pPr>
        <w:tabs>
          <w:tab w:val="left" w:pos="3700"/>
        </w:tabs>
        <w:spacing w:line="480" w:lineRule="auto"/>
        <w:rPr>
          <w:rFonts w:eastAsiaTheme="minorEastAsia"/>
          <w:color w:val="000000" w:themeColor="text1"/>
          <w:sz w:val="20"/>
          <w:szCs w:val="20"/>
        </w:rPr>
      </w:pPr>
      <w:r w:rsidRPr="00FB1858">
        <w:rPr>
          <w:color w:val="000000" w:themeColor="text1"/>
          <w:sz w:val="20"/>
          <w:szCs w:val="20"/>
        </w:rPr>
        <w:t xml:space="preserve">  p-value=     1- </w:t>
      </w:r>
      <m:oMath>
        <m:nary>
          <m:naryPr>
            <m:chr m:val="∑"/>
            <m:limLoc m:val="undOvr"/>
            <m:ctrlPr>
              <w:rPr>
                <w:rFonts w:ascii="Cambria Math" w:eastAsiaTheme="minorEastAsia" w:hAnsi="Cambria Math"/>
                <w:i/>
                <w:color w:val="000000" w:themeColor="text1"/>
                <w:sz w:val="20"/>
                <w:szCs w:val="20"/>
              </w:rPr>
            </m:ctrlPr>
          </m:naryPr>
          <m:sub>
            <m:r>
              <m:rPr>
                <m:sty m:val="p"/>
              </m:rPr>
              <w:rPr>
                <w:rFonts w:ascii="Cambria Math" w:hAnsi="Cambria Math"/>
                <w:color w:val="000000" w:themeColor="text1"/>
                <w:sz w:val="20"/>
                <w:szCs w:val="20"/>
              </w:rPr>
              <m:t>j=0</m:t>
            </m:r>
          </m:sub>
          <m:sup>
            <m:r>
              <m:rPr>
                <m:sty m:val="p"/>
              </m:rPr>
              <w:rPr>
                <w:rFonts w:ascii="Cambria Math" w:hAnsi="Cambria Math"/>
                <w:color w:val="000000" w:themeColor="text1"/>
                <w:sz w:val="20"/>
                <w:szCs w:val="20"/>
              </w:rPr>
              <m:t>s-1</m:t>
            </m:r>
          </m:sup>
          <m:e>
            <m:r>
              <w:rPr>
                <w:rFonts w:ascii="Cambria Math" w:eastAsiaTheme="minorEastAsia" w:hAnsi="Cambria Math"/>
                <w:color w:val="000000" w:themeColor="text1"/>
                <w:sz w:val="20"/>
                <w:szCs w:val="20"/>
              </w:rPr>
              <m:t>f</m:t>
            </m:r>
            <m:d>
              <m:dPr>
                <m:ctrlPr>
                  <w:rPr>
                    <w:rFonts w:ascii="Cambria Math" w:eastAsiaTheme="minorEastAsia" w:hAnsi="Cambria Math"/>
                    <w:i/>
                    <w:color w:val="000000" w:themeColor="text1"/>
                    <w:sz w:val="20"/>
                    <w:szCs w:val="20"/>
                  </w:rPr>
                </m:ctrlPr>
              </m:dPr>
              <m:e>
                <m:r>
                  <w:rPr>
                    <w:rFonts w:ascii="Cambria Math" w:eastAsiaTheme="minorEastAsia" w:hAnsi="Cambria Math"/>
                    <w:color w:val="000000" w:themeColor="text1"/>
                    <w:sz w:val="20"/>
                    <w:szCs w:val="20"/>
                  </w:rPr>
                  <m:t>1,j|p0</m:t>
                </m:r>
              </m:e>
            </m:d>
          </m:e>
        </m:nary>
      </m:oMath>
      <w:r w:rsidRPr="00FB1858">
        <w:rPr>
          <w:rFonts w:eastAsiaTheme="minorEastAsia"/>
          <w:color w:val="000000" w:themeColor="text1"/>
          <w:sz w:val="20"/>
          <w:szCs w:val="20"/>
        </w:rPr>
        <w:t xml:space="preserve">                     </w:t>
      </w:r>
      <w:r w:rsidR="006B107E" w:rsidRPr="00FB1858">
        <w:rPr>
          <w:rFonts w:eastAsiaTheme="minorEastAsia"/>
          <w:color w:val="000000" w:themeColor="text1"/>
          <w:sz w:val="20"/>
          <w:szCs w:val="20"/>
        </w:rPr>
        <w:t xml:space="preserve">              </w:t>
      </w:r>
      <w:r w:rsidRPr="00FB1858">
        <w:rPr>
          <w:rFonts w:eastAsiaTheme="minorEastAsia"/>
          <w:color w:val="000000" w:themeColor="text1"/>
          <w:sz w:val="20"/>
          <w:szCs w:val="20"/>
        </w:rPr>
        <w:t>if m = 1, s</w:t>
      </w:r>
      <w:r w:rsidRPr="00FB1858">
        <w:rPr>
          <w:rFonts w:eastAsiaTheme="minorEastAsia"/>
          <w:color w:val="000000" w:themeColor="text1"/>
          <w:sz w:val="20"/>
          <w:szCs w:val="20"/>
          <w:vertAlign w:val="subscript"/>
        </w:rPr>
        <w:t>1</w:t>
      </w:r>
      <w:r w:rsidRPr="00FB1858">
        <w:rPr>
          <w:rFonts w:eastAsiaTheme="minorEastAsia"/>
          <w:color w:val="000000" w:themeColor="text1"/>
          <w:sz w:val="20"/>
          <w:szCs w:val="20"/>
        </w:rPr>
        <w:t xml:space="preserve">     </w:t>
      </w:r>
      <w:r w:rsidR="00A34C21" w:rsidRPr="00A34C21">
        <w:rPr>
          <w:rFonts w:eastAsiaTheme="minorEastAsia"/>
          <w:color w:val="000000" w:themeColor="text1"/>
          <w:sz w:val="20"/>
          <w:szCs w:val="20"/>
        </w:rPr>
        <w:tab/>
      </w:r>
      <w:r w:rsidR="00A34C21" w:rsidRPr="00A34C21">
        <w:rPr>
          <w:rFonts w:eastAsiaTheme="minorEastAsia"/>
          <w:color w:val="000000" w:themeColor="text1"/>
          <w:sz w:val="20"/>
          <w:szCs w:val="20"/>
        </w:rPr>
        <w:tab/>
      </w:r>
      <w:r w:rsidR="00A34C21" w:rsidRPr="00A34C21">
        <w:rPr>
          <w:rFonts w:eastAsiaTheme="minorEastAsia"/>
          <w:color w:val="000000" w:themeColor="text1"/>
          <w:sz w:val="20"/>
          <w:szCs w:val="20"/>
        </w:rPr>
        <w:tab/>
      </w:r>
      <w:r w:rsidRPr="00FB1858">
        <w:rPr>
          <w:rFonts w:eastAsiaTheme="minorEastAsia"/>
          <w:color w:val="000000" w:themeColor="text1"/>
          <w:sz w:val="20"/>
          <w:szCs w:val="20"/>
        </w:rPr>
        <w:t xml:space="preserve"> </w:t>
      </w:r>
      <w:r w:rsidRPr="00FB1858">
        <w:rPr>
          <w:color w:val="000000" w:themeColor="text1"/>
          <w:sz w:val="20"/>
          <w:szCs w:val="20"/>
        </w:rPr>
        <w:t>(</w:t>
      </w:r>
      <w:r w:rsidRPr="00FB1858">
        <w:rPr>
          <w:rFonts w:eastAsiaTheme="minorEastAsia"/>
          <w:b/>
          <w:color w:val="000000" w:themeColor="text1"/>
          <w:sz w:val="20"/>
          <w:szCs w:val="20"/>
        </w:rPr>
        <w:t xml:space="preserve">Equation </w:t>
      </w:r>
      <w:r w:rsidRPr="00FB1858">
        <w:rPr>
          <w:b/>
          <w:color w:val="000000" w:themeColor="text1"/>
          <w:sz w:val="20"/>
          <w:szCs w:val="20"/>
        </w:rPr>
        <w:t>3</w:t>
      </w:r>
      <w:r w:rsidRPr="00FB1858">
        <w:rPr>
          <w:color w:val="000000" w:themeColor="text1"/>
          <w:sz w:val="20"/>
          <w:szCs w:val="20"/>
        </w:rPr>
        <w:t>)</w:t>
      </w:r>
    </w:p>
    <w:p w14:paraId="23C235C7" w14:textId="109ABA25"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 xml:space="preserve">                     </w:t>
      </w:r>
      <m:oMath>
        <m:nary>
          <m:naryPr>
            <m:chr m:val="∑"/>
            <m:limLoc m:val="undOvr"/>
            <m:ctrlPr>
              <w:rPr>
                <w:rFonts w:ascii="Cambria Math" w:eastAsiaTheme="minorEastAsia" w:hAnsi="Cambria Math"/>
                <w:i/>
                <w:color w:val="000000" w:themeColor="text1"/>
                <w:sz w:val="20"/>
                <w:szCs w:val="20"/>
              </w:rPr>
            </m:ctrlPr>
          </m:naryPr>
          <m:sub>
            <m:r>
              <m:rPr>
                <m:sty m:val="p"/>
              </m:rPr>
              <w:rPr>
                <w:rFonts w:ascii="Cambria Math" w:hAnsi="Cambria Math"/>
                <w:color w:val="000000" w:themeColor="text1"/>
                <w:sz w:val="20"/>
                <w:szCs w:val="20"/>
              </w:rPr>
              <m:t>j=b1</m:t>
            </m:r>
          </m:sub>
          <m:sup>
            <m:r>
              <m:rPr>
                <m:sty m:val="p"/>
              </m:rPr>
              <w:rPr>
                <w:rFonts w:ascii="Cambria Math" w:hAnsi="Cambria Math"/>
                <w:color w:val="000000" w:themeColor="text1"/>
                <w:sz w:val="20"/>
                <w:szCs w:val="20"/>
              </w:rPr>
              <m:t>n1</m:t>
            </m:r>
          </m:sup>
          <m:e>
            <m:r>
              <w:rPr>
                <w:rFonts w:ascii="Cambria Math" w:eastAsiaTheme="minorEastAsia" w:hAnsi="Cambria Math"/>
                <w:color w:val="000000" w:themeColor="text1"/>
                <w:sz w:val="20"/>
                <w:szCs w:val="20"/>
              </w:rPr>
              <m:t>f</m:t>
            </m:r>
            <m:d>
              <m:dPr>
                <m:ctrlPr>
                  <w:rPr>
                    <w:rFonts w:ascii="Cambria Math" w:eastAsiaTheme="minorEastAsia" w:hAnsi="Cambria Math"/>
                    <w:i/>
                    <w:color w:val="000000" w:themeColor="text1"/>
                    <w:sz w:val="20"/>
                    <w:szCs w:val="20"/>
                  </w:rPr>
                </m:ctrlPr>
              </m:dPr>
              <m:e>
                <m:r>
                  <w:rPr>
                    <w:rFonts w:ascii="Cambria Math" w:eastAsiaTheme="minorEastAsia" w:hAnsi="Cambria Math"/>
                    <w:color w:val="000000" w:themeColor="text1"/>
                    <w:sz w:val="20"/>
                    <w:szCs w:val="20"/>
                  </w:rPr>
                  <m:t>1,j|p0</m:t>
                </m:r>
              </m:e>
            </m:d>
            <m:r>
              <w:rPr>
                <w:rFonts w:ascii="Cambria Math" w:eastAsiaTheme="minorEastAsia" w:hAnsi="Cambria Math"/>
                <w:color w:val="000000" w:themeColor="text1"/>
                <w:sz w:val="20"/>
                <w:szCs w:val="20"/>
              </w:rPr>
              <m:t>+</m:t>
            </m:r>
            <m:nary>
              <m:naryPr>
                <m:chr m:val="∑"/>
                <m:limLoc m:val="undOvr"/>
                <m:ctrlPr>
                  <w:rPr>
                    <w:rFonts w:ascii="Cambria Math" w:eastAsiaTheme="minorEastAsia" w:hAnsi="Cambria Math"/>
                    <w:i/>
                    <w:color w:val="000000" w:themeColor="text1"/>
                    <w:sz w:val="20"/>
                    <w:szCs w:val="20"/>
                  </w:rPr>
                </m:ctrlPr>
              </m:naryPr>
              <m:sub>
                <m:r>
                  <m:rPr>
                    <m:sty m:val="p"/>
                  </m:rPr>
                  <w:rPr>
                    <w:rFonts w:ascii="Cambria Math" w:hAnsi="Cambria Math"/>
                    <w:color w:val="000000" w:themeColor="text1"/>
                    <w:sz w:val="20"/>
                    <w:szCs w:val="20"/>
                  </w:rPr>
                  <m:t>j=s</m:t>
                </m:r>
              </m:sub>
              <m:sup>
                <m:r>
                  <m:rPr>
                    <m:sty m:val="p"/>
                  </m:rPr>
                  <w:rPr>
                    <w:rFonts w:ascii="Cambria Math" w:hAnsi="Cambria Math"/>
                    <w:color w:val="000000" w:themeColor="text1"/>
                    <w:sz w:val="20"/>
                    <w:szCs w:val="20"/>
                  </w:rPr>
                  <m:t>b1-1+n2</m:t>
                </m:r>
              </m:sup>
              <m:e>
                <m:r>
                  <w:rPr>
                    <w:rFonts w:ascii="Cambria Math" w:eastAsiaTheme="minorEastAsia" w:hAnsi="Cambria Math"/>
                    <w:color w:val="000000" w:themeColor="text1"/>
                    <w:sz w:val="20"/>
                    <w:szCs w:val="20"/>
                  </w:rPr>
                  <m:t>f</m:t>
                </m:r>
                <m:d>
                  <m:dPr>
                    <m:ctrlPr>
                      <w:rPr>
                        <w:rFonts w:ascii="Cambria Math" w:eastAsiaTheme="minorEastAsia" w:hAnsi="Cambria Math"/>
                        <w:i/>
                        <w:color w:val="000000" w:themeColor="text1"/>
                        <w:sz w:val="20"/>
                        <w:szCs w:val="20"/>
                      </w:rPr>
                    </m:ctrlPr>
                  </m:dPr>
                  <m:e>
                    <m:r>
                      <w:rPr>
                        <w:rFonts w:ascii="Cambria Math" w:eastAsiaTheme="minorEastAsia" w:hAnsi="Cambria Math"/>
                        <w:color w:val="000000" w:themeColor="text1"/>
                        <w:sz w:val="20"/>
                        <w:szCs w:val="20"/>
                      </w:rPr>
                      <m:t>2,j|p0</m:t>
                    </m:r>
                  </m:e>
                </m:d>
              </m:e>
            </m:nary>
          </m:e>
        </m:nary>
      </m:oMath>
      <w:r w:rsidRPr="00FB1858">
        <w:rPr>
          <w:rFonts w:eastAsiaTheme="minorEastAsia"/>
          <w:color w:val="000000" w:themeColor="text1"/>
          <w:sz w:val="20"/>
          <w:szCs w:val="20"/>
        </w:rPr>
        <w:t xml:space="preserve">    if m = 2</w:t>
      </w:r>
    </w:p>
    <w:p w14:paraId="6C95E629" w14:textId="77777777" w:rsidR="002F06E6" w:rsidRPr="00FB1858" w:rsidRDefault="002F06E6" w:rsidP="00FB1858">
      <w:pPr>
        <w:tabs>
          <w:tab w:val="left" w:pos="3700"/>
        </w:tabs>
        <w:spacing w:line="480" w:lineRule="auto"/>
        <w:rPr>
          <w:color w:val="000000" w:themeColor="text1"/>
          <w:sz w:val="20"/>
          <w:szCs w:val="20"/>
        </w:rPr>
      </w:pPr>
    </w:p>
    <w:p w14:paraId="4DABAF0D" w14:textId="77777777" w:rsidR="002F06E6" w:rsidRPr="00FB1858" w:rsidRDefault="002F06E6" w:rsidP="00FB1858">
      <w:pPr>
        <w:tabs>
          <w:tab w:val="left" w:pos="3700"/>
        </w:tabs>
        <w:spacing w:line="480" w:lineRule="auto"/>
        <w:rPr>
          <w:rFonts w:eastAsiaTheme="minorEastAsia"/>
          <w:color w:val="000000" w:themeColor="text1"/>
          <w:sz w:val="20"/>
          <w:szCs w:val="20"/>
        </w:rPr>
      </w:pPr>
      <w:r w:rsidRPr="00FB1858">
        <w:rPr>
          <w:color w:val="000000" w:themeColor="text1"/>
          <w:sz w:val="20"/>
          <w:szCs w:val="20"/>
        </w:rPr>
        <w:t>UMVUE-based calculation of p-value does not require specification of the critical values at the terminal stage. It can be used to test H</w:t>
      </w:r>
      <w:r w:rsidRPr="00FB1858">
        <w:rPr>
          <w:color w:val="000000" w:themeColor="text1"/>
          <w:sz w:val="20"/>
          <w:szCs w:val="20"/>
          <w:vertAlign w:val="subscript"/>
        </w:rPr>
        <w:t>0</w:t>
      </w:r>
      <w:r w:rsidRPr="00FB1858">
        <w:rPr>
          <w:color w:val="000000" w:themeColor="text1"/>
          <w:sz w:val="20"/>
          <w:szCs w:val="20"/>
        </w:rPr>
        <w:t>: p = 0 against H</w:t>
      </w:r>
      <w:r w:rsidRPr="00FB1858">
        <w:rPr>
          <w:color w:val="000000" w:themeColor="text1"/>
          <w:sz w:val="20"/>
          <w:szCs w:val="20"/>
          <w:vertAlign w:val="subscript"/>
        </w:rPr>
        <w:t>1</w:t>
      </w:r>
      <w:r w:rsidRPr="00FB1858">
        <w:rPr>
          <w:color w:val="000000" w:themeColor="text1"/>
          <w:sz w:val="20"/>
          <w:szCs w:val="20"/>
        </w:rPr>
        <w:t>: p &gt; p</w:t>
      </w:r>
      <w:r w:rsidRPr="00FB1858">
        <w:rPr>
          <w:color w:val="000000" w:themeColor="text1"/>
          <w:sz w:val="20"/>
          <w:szCs w:val="20"/>
          <w:vertAlign w:val="subscript"/>
        </w:rPr>
        <w:t>0</w:t>
      </w:r>
      <w:r w:rsidRPr="00FB1858">
        <w:rPr>
          <w:color w:val="000000" w:themeColor="text1"/>
          <w:sz w:val="20"/>
          <w:szCs w:val="20"/>
        </w:rPr>
        <w:t xml:space="preserve"> based on the pre-specified type I error rate α when the realized </w:t>
      </w:r>
      <w:r w:rsidRPr="00FB1858">
        <w:rPr>
          <w:color w:val="000000" w:themeColor="text1"/>
          <w:sz w:val="20"/>
          <w:szCs w:val="20"/>
        </w:rPr>
        <w:lastRenderedPageBreak/>
        <w:t>sample size is different from that specified in the design at the stopping stage (M1 or M2). Additionally, power may be calculated with UMVUE-based calculation for p</w:t>
      </w:r>
      <w:r w:rsidRPr="00FB1858">
        <w:rPr>
          <w:color w:val="000000" w:themeColor="text1"/>
          <w:sz w:val="20"/>
          <w:szCs w:val="20"/>
          <w:vertAlign w:val="subscript"/>
        </w:rPr>
        <w:t>1</w:t>
      </w:r>
      <w:r w:rsidRPr="00FB1858">
        <w:rPr>
          <w:color w:val="000000" w:themeColor="text1"/>
          <w:sz w:val="20"/>
          <w:szCs w:val="20"/>
        </w:rPr>
        <w:t>.</w:t>
      </w:r>
    </w:p>
    <w:p w14:paraId="2A90CE8C" w14:textId="77777777" w:rsidR="006509D7" w:rsidRPr="00FB1858" w:rsidRDefault="002F06E6" w:rsidP="00FB1858">
      <w:pPr>
        <w:spacing w:line="480" w:lineRule="auto"/>
        <w:rPr>
          <w:color w:val="000000" w:themeColor="text1"/>
          <w:sz w:val="20"/>
          <w:szCs w:val="20"/>
        </w:rPr>
      </w:pPr>
      <w:r w:rsidRPr="00FB1858">
        <w:rPr>
          <w:color w:val="000000" w:themeColor="text1"/>
          <w:sz w:val="20"/>
          <w:szCs w:val="20"/>
        </w:rPr>
        <w:t>In accordance with previous explanations in single-stage studies, we can design a superiority hypothesis and switch to NI analysis if the superiority criteria cannot be met (NI analysis and NIM must be pre-specified properly) (</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{"citationID":"5Rouigz7","properties":{"formattedCitation":"\\super 4\\nosupersub{}","plainCitation":"4","noteIndex":0},"citationItems":[{"id":1030,"uris":["http://zotero.org/users/921050/items/8TGVXZBH"],"uri":["http://zotero.org/users/921050/items/8TGVXZBH"],"itemData":{"id":1030,"type":"webpage","title":"Points to consider on switching between superiority and non-inferiority.","container-title":"http://www.ema.europa.eu/docs/en_GB/document_library/Scientific_guideline/2009/09/WC500003658.pdf","note":"CPMP/EWP/482/99","author":[{"literal":"Committee For Proprietary medicinal products (CPMP)"},{"literal":"The European Agency for the Evaluation of Medicinal Products"}],"issued":{"date-parts":[["2000",7,27]]}}}],"schema":"https://github.com/citation-style-language/schema/raw/master/csl-citation.json"}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4</w:t>
      </w:r>
      <w:r w:rsidRPr="00FB1858">
        <w:rPr>
          <w:color w:val="000000" w:themeColor="text1"/>
          <w:sz w:val="20"/>
          <w:szCs w:val="20"/>
        </w:rPr>
        <w:fldChar w:fldCharType="end"/>
      </w:r>
      <w:r w:rsidRPr="00FB1858">
        <w:rPr>
          <w:color w:val="000000" w:themeColor="text1"/>
          <w:sz w:val="20"/>
          <w:szCs w:val="20"/>
        </w:rPr>
        <w:t>). We should assume the same (a</w:t>
      </w:r>
      <w:r w:rsidRPr="00FB1858">
        <w:rPr>
          <w:color w:val="000000" w:themeColor="text1"/>
          <w:sz w:val="20"/>
          <w:szCs w:val="20"/>
          <w:vertAlign w:val="subscript"/>
        </w:rPr>
        <w:t>1</w:t>
      </w:r>
      <w:r w:rsidRPr="00FB1858">
        <w:rPr>
          <w:color w:val="000000" w:themeColor="text1"/>
          <w:sz w:val="20"/>
          <w:szCs w:val="20"/>
        </w:rPr>
        <w:t>, b</w:t>
      </w:r>
      <w:r w:rsidRPr="00FB1858">
        <w:rPr>
          <w:color w:val="000000" w:themeColor="text1"/>
          <w:sz w:val="20"/>
          <w:szCs w:val="20"/>
          <w:vertAlign w:val="subscript"/>
        </w:rPr>
        <w:t>1</w:t>
      </w:r>
      <w:r w:rsidRPr="00FB1858">
        <w:rPr>
          <w:color w:val="000000" w:themeColor="text1"/>
          <w:sz w:val="20"/>
          <w:szCs w:val="20"/>
        </w:rPr>
        <w:t>, n</w:t>
      </w:r>
      <w:r w:rsidRPr="00FB1858">
        <w:rPr>
          <w:color w:val="000000" w:themeColor="text1"/>
          <w:sz w:val="20"/>
          <w:szCs w:val="20"/>
          <w:vertAlign w:val="subscript"/>
        </w:rPr>
        <w:t>1</w:t>
      </w:r>
      <w:r w:rsidRPr="00FB1858">
        <w:rPr>
          <w:color w:val="000000" w:themeColor="text1"/>
          <w:sz w:val="20"/>
          <w:szCs w:val="20"/>
        </w:rPr>
        <w:t xml:space="preserve"> and n) as superiority analysis and substitute p</w:t>
      </w:r>
      <w:r w:rsidRPr="00FB1858">
        <w:rPr>
          <w:color w:val="000000" w:themeColor="text1"/>
          <w:sz w:val="20"/>
          <w:szCs w:val="20"/>
          <w:vertAlign w:val="subscript"/>
        </w:rPr>
        <w:t>0</w:t>
      </w:r>
      <w:r w:rsidRPr="00FB1858">
        <w:rPr>
          <w:color w:val="000000" w:themeColor="text1"/>
          <w:sz w:val="20"/>
          <w:szCs w:val="20"/>
        </w:rPr>
        <w:t xml:space="preserve"> by p</w:t>
      </w:r>
      <w:r w:rsidRPr="00FB1858">
        <w:rPr>
          <w:color w:val="000000" w:themeColor="text1"/>
          <w:sz w:val="20"/>
          <w:szCs w:val="20"/>
          <w:vertAlign w:val="subscript"/>
        </w:rPr>
        <w:t xml:space="preserve">0 </w:t>
      </w:r>
      <w:r w:rsidRPr="00FB1858">
        <w:rPr>
          <w:color w:val="000000" w:themeColor="text1"/>
          <w:sz w:val="20"/>
          <w:szCs w:val="20"/>
        </w:rPr>
        <w:t xml:space="preserve">/ NIM in </w:t>
      </w:r>
      <w:r w:rsidRPr="00FB1858">
        <w:rPr>
          <w:b/>
          <w:color w:val="000000" w:themeColor="text1"/>
          <w:sz w:val="20"/>
          <w:szCs w:val="20"/>
        </w:rPr>
        <w:t>Equations</w:t>
      </w:r>
      <w:r w:rsidRPr="00FB1858">
        <w:rPr>
          <w:color w:val="000000" w:themeColor="text1"/>
          <w:sz w:val="20"/>
          <w:szCs w:val="20"/>
        </w:rPr>
        <w:t xml:space="preserve"> </w:t>
      </w:r>
      <w:r w:rsidRPr="00FB1858">
        <w:rPr>
          <w:b/>
          <w:color w:val="000000" w:themeColor="text1"/>
          <w:sz w:val="20"/>
          <w:szCs w:val="20"/>
        </w:rPr>
        <w:t>1</w:t>
      </w:r>
      <w:r w:rsidRPr="00FB1858">
        <w:rPr>
          <w:color w:val="000000" w:themeColor="text1"/>
          <w:sz w:val="20"/>
          <w:szCs w:val="20"/>
        </w:rPr>
        <w:t xml:space="preserve">, </w:t>
      </w:r>
      <w:r w:rsidRPr="00FB1858">
        <w:rPr>
          <w:b/>
          <w:color w:val="000000" w:themeColor="text1"/>
          <w:sz w:val="20"/>
          <w:szCs w:val="20"/>
        </w:rPr>
        <w:t>2</w:t>
      </w:r>
      <w:r w:rsidRPr="00FB1858">
        <w:rPr>
          <w:color w:val="000000" w:themeColor="text1"/>
          <w:sz w:val="20"/>
          <w:szCs w:val="20"/>
        </w:rPr>
        <w:t xml:space="preserve"> and </w:t>
      </w:r>
      <w:r w:rsidRPr="00FB1858">
        <w:rPr>
          <w:b/>
          <w:color w:val="000000" w:themeColor="text1"/>
          <w:sz w:val="20"/>
          <w:szCs w:val="20"/>
        </w:rPr>
        <w:t>3</w:t>
      </w:r>
      <w:r w:rsidRPr="00FB1858">
        <w:rPr>
          <w:color w:val="000000" w:themeColor="text1"/>
          <w:sz w:val="20"/>
          <w:szCs w:val="20"/>
        </w:rPr>
        <w:t xml:space="preserve">. The </w:t>
      </w:r>
      <w:proofErr w:type="spellStart"/>
      <w:r w:rsidRPr="00FB1858">
        <w:rPr>
          <w:color w:val="000000" w:themeColor="text1"/>
          <w:sz w:val="20"/>
          <w:szCs w:val="20"/>
        </w:rPr>
        <w:t>s</w:t>
      </w:r>
      <w:r w:rsidRPr="00FB1858">
        <w:rPr>
          <w:color w:val="000000" w:themeColor="text1"/>
          <w:sz w:val="20"/>
          <w:szCs w:val="20"/>
          <w:vertAlign w:val="subscript"/>
        </w:rPr>
        <w:t>ni</w:t>
      </w:r>
      <w:proofErr w:type="spellEnd"/>
      <w:r w:rsidRPr="00FB1858">
        <w:rPr>
          <w:color w:val="000000" w:themeColor="text1"/>
          <w:sz w:val="20"/>
          <w:szCs w:val="20"/>
        </w:rPr>
        <w:t xml:space="preserve"> is chosen as the lowest integer satisfying α</w:t>
      </w:r>
      <w:proofErr w:type="spellStart"/>
      <w:r w:rsidRPr="00FB1858">
        <w:rPr>
          <w:color w:val="000000" w:themeColor="text1"/>
          <w:sz w:val="20"/>
          <w:szCs w:val="20"/>
          <w:vertAlign w:val="subscript"/>
        </w:rPr>
        <w:t>ni</w:t>
      </w:r>
      <w:proofErr w:type="spellEnd"/>
      <w:r w:rsidRPr="00FB1858">
        <w:rPr>
          <w:color w:val="000000" w:themeColor="text1"/>
          <w:sz w:val="20"/>
          <w:szCs w:val="20"/>
        </w:rPr>
        <w:t xml:space="preserve"> ≤ α. Where </w:t>
      </w:r>
      <w:proofErr w:type="spellStart"/>
      <w:r w:rsidRPr="00FB1858">
        <w:rPr>
          <w:color w:val="000000" w:themeColor="text1"/>
          <w:sz w:val="20"/>
          <w:szCs w:val="20"/>
        </w:rPr>
        <w:t>s</w:t>
      </w:r>
      <w:r w:rsidRPr="00FB1858">
        <w:rPr>
          <w:color w:val="000000" w:themeColor="text1"/>
          <w:sz w:val="20"/>
          <w:szCs w:val="20"/>
          <w:vertAlign w:val="subscript"/>
        </w:rPr>
        <w:t>ni</w:t>
      </w:r>
      <w:proofErr w:type="spellEnd"/>
      <w:r w:rsidRPr="00FB1858">
        <w:rPr>
          <w:color w:val="000000" w:themeColor="text1"/>
          <w:sz w:val="20"/>
          <w:szCs w:val="20"/>
        </w:rPr>
        <w:t xml:space="preserve"> ≤ a and 1 - β</w:t>
      </w:r>
      <w:proofErr w:type="spellStart"/>
      <w:r w:rsidRPr="00FB1858">
        <w:rPr>
          <w:color w:val="000000" w:themeColor="text1"/>
          <w:sz w:val="20"/>
          <w:szCs w:val="20"/>
          <w:vertAlign w:val="subscript"/>
        </w:rPr>
        <w:t>ni</w:t>
      </w:r>
      <w:proofErr w:type="spellEnd"/>
      <w:r w:rsidRPr="00FB1858">
        <w:rPr>
          <w:color w:val="000000" w:themeColor="text1"/>
          <w:sz w:val="20"/>
          <w:szCs w:val="20"/>
        </w:rPr>
        <w:t xml:space="preserve"> ≤ 1 - β.</w:t>
      </w:r>
    </w:p>
    <w:p w14:paraId="6BADB922" w14:textId="77777777" w:rsidR="009C2809" w:rsidRPr="00FB1858" w:rsidRDefault="009C2809" w:rsidP="00FB1858">
      <w:pPr>
        <w:tabs>
          <w:tab w:val="left" w:pos="3700"/>
        </w:tabs>
        <w:spacing w:line="480" w:lineRule="auto"/>
        <w:rPr>
          <w:b/>
          <w:i/>
          <w:color w:val="000000" w:themeColor="text1"/>
          <w:sz w:val="20"/>
          <w:szCs w:val="20"/>
        </w:rPr>
      </w:pPr>
    </w:p>
    <w:p w14:paraId="6EAD2A46" w14:textId="0E44423C" w:rsidR="002F06E6" w:rsidRPr="00FB1858" w:rsidRDefault="002F06E6" w:rsidP="00FB1858">
      <w:pPr>
        <w:pStyle w:val="NormalWeb"/>
        <w:numPr>
          <w:ilvl w:val="0"/>
          <w:numId w:val="7"/>
        </w:numPr>
        <w:shd w:val="clear" w:color="auto" w:fill="FFFFFF"/>
        <w:spacing w:before="0" w:beforeAutospacing="0" w:after="0" w:afterAutospacing="0" w:line="480" w:lineRule="auto"/>
        <w:jc w:val="left"/>
        <w:outlineLvl w:val="0"/>
        <w:rPr>
          <w:b/>
          <w:color w:val="000000" w:themeColor="text1"/>
          <w:sz w:val="20"/>
          <w:szCs w:val="20"/>
        </w:rPr>
      </w:pPr>
      <w:r w:rsidRPr="00FB1858">
        <w:rPr>
          <w:b/>
          <w:color w:val="000000" w:themeColor="text1"/>
          <w:sz w:val="20"/>
          <w:szCs w:val="20"/>
        </w:rPr>
        <w:t>Implementation</w:t>
      </w:r>
    </w:p>
    <w:p w14:paraId="043BC209" w14:textId="52E080CA"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A user-defined function has been written in R software</w:t>
      </w:r>
      <w:r w:rsidRPr="00FB1858">
        <w:rPr>
          <w:color w:val="000000" w:themeColor="text1"/>
          <w:sz w:val="20"/>
          <w:szCs w:val="20"/>
        </w:rPr>
        <w:fldChar w:fldCharType="begin"/>
      </w:r>
      <w:r w:rsidR="00C1051D" w:rsidRPr="00A34C21">
        <w:rPr>
          <w:color w:val="000000" w:themeColor="text1"/>
          <w:sz w:val="20"/>
          <w:szCs w:val="20"/>
        </w:rPr>
        <w:instrText xml:space="preserve"> ADDIN ZOTERO_ITEM CSL_CITATION {"citationID":"eNqNFkNf","properties":{"formattedCitation":"\\super 9\\nosupersub{}","plainCitation":"9","noteIndex":0},"citationItems":[{"id":1031,"uris":["http://zotero.org/users/921050/items/2DXCNAG4"],"uri":["http://zotero.org/users/921050/items/2DXCNAG4"],"itemData":{"id":1031,"type":"webpage","title":"R: A language and environment for statistical computing. Vienna, Austria: R Foundation for Statistical Computing.","container-title":"https://www.R-project.org/","title-short":"R Foundation for Statistical Computing","language":"English","author":[{"family":"Team","given":"R. Core"}],"issued":{"date-parts":[["2016"]]}}}],"schema":"https://github.com/citation-style-language/schema/raw/master/csl-citation.json"} </w:instrText>
      </w:r>
      <w:r w:rsidRPr="00FB1858">
        <w:rPr>
          <w:color w:val="000000" w:themeColor="text1"/>
          <w:sz w:val="20"/>
          <w:szCs w:val="20"/>
        </w:rPr>
        <w:fldChar w:fldCharType="separate"/>
      </w:r>
      <w:r w:rsidR="00C1051D" w:rsidRPr="00FB1858">
        <w:rPr>
          <w:color w:val="000000"/>
          <w:sz w:val="20"/>
          <w:szCs w:val="20"/>
          <w:vertAlign w:val="superscript"/>
        </w:rPr>
        <w:t>9</w:t>
      </w:r>
      <w:r w:rsidRPr="00FB1858">
        <w:rPr>
          <w:color w:val="000000" w:themeColor="text1"/>
          <w:sz w:val="20"/>
          <w:szCs w:val="20"/>
        </w:rPr>
        <w:fldChar w:fldCharType="end"/>
      </w:r>
      <w:r w:rsidRPr="00FB1858">
        <w:rPr>
          <w:color w:val="000000" w:themeColor="text1"/>
          <w:sz w:val="20"/>
          <w:szCs w:val="20"/>
        </w:rPr>
        <w:t xml:space="preserve"> (</w:t>
      </w:r>
      <w:r w:rsidR="00DE1519" w:rsidRPr="00FB1858">
        <w:rPr>
          <w:color w:val="000000" w:themeColor="text1"/>
          <w:sz w:val="20"/>
          <w:szCs w:val="20"/>
        </w:rPr>
        <w:t>additional file</w:t>
      </w:r>
      <w:r w:rsidR="006F2470" w:rsidRPr="00FB1858">
        <w:rPr>
          <w:color w:val="000000" w:themeColor="text1"/>
          <w:sz w:val="20"/>
          <w:szCs w:val="20"/>
        </w:rPr>
        <w:t>s</w:t>
      </w:r>
      <w:r w:rsidRPr="00FB1858">
        <w:rPr>
          <w:color w:val="000000" w:themeColor="text1"/>
          <w:sz w:val="20"/>
          <w:szCs w:val="20"/>
        </w:rPr>
        <w:t>) to calculate point estimator, p-value, and power in two-stage designs with a binary outcome, according to the UMVUE method</w:t>
      </w:r>
      <w:r w:rsidR="006B107E" w:rsidRPr="00FB1858">
        <w:rPr>
          <w:color w:val="000000" w:themeColor="text1"/>
          <w:sz w:val="20"/>
          <w:szCs w:val="20"/>
        </w:rPr>
        <w:t>.</w:t>
      </w:r>
      <w:r w:rsidRPr="00FB1858">
        <w:rPr>
          <w:color w:val="000000" w:themeColor="text1"/>
          <w:sz w:val="20"/>
          <w:szCs w:val="20"/>
        </w:rPr>
        <w:fldChar w:fldCharType="begin"/>
      </w:r>
      <w:r w:rsidR="006B107E" w:rsidRPr="00FB1858">
        <w:rPr>
          <w:color w:val="000000" w:themeColor="text1"/>
          <w:sz w:val="20"/>
          <w:szCs w:val="20"/>
        </w:rPr>
        <w:instrText xml:space="preserve"> ADDIN ZOTERO_ITEM CSL_CITATION {"citationID":"1sknummnvn","properties":{"formattedCitation":"\\super 7\\nosupersub{}","plainCitation":"7","noteIndex":0},"citationItems":[{"id":1058,"uris":["http://zotero.org/users/921050/items/DQ3A8MJ3"],"uri":["http://zotero.org/users/921050/items/DQ3A8MJ3"],"itemData":{"id":1058,"type":"article-journal","title":"Statistical issues for design and analysis of single-arm multi-stage phase II cancer clinical trials","container-title":"Contemporary Clinical Trials","page":"9-17","volume":"42","source":"PubMed","abstract":"BACKGROUND: Phase II trials have been very widely conducted and published every year for cancer clinical research. In spite of the fast progress in design and analysis methods, single-arm two-stage design is still the most popular for phase II cancer clinical trials. Because of their small sample sizes, statistical methods based on large sample approximation are not appropriate for design and analysis of phase II trials.\nMETHODS: As a prospective clinical research, the analysis method of a phase II trial is predetermined at the design stage and it is analyzed during and at the end of the trial as planned by the design. The analysis method of a trial should be matched with the design method. For two-stage single arm phase II trials, Simon's method has been the standards for choosing an optimal design, but the resulting data have been analyzed and published ignoring the two-stage design aspect with small sample sizes.\nCONCLUSIONS: In this article, we review analysis methods that exactly get along with the exact two-stage design method. We also discuss some statistical methods to improve the existing design and analysis methods for single-arm two-stage phase II trials.","DOI":"10.1016/j.cct.2015.02.007","ISSN":"1559-2030","note":"PMID: 25749311\nPMCID: PMC4450127","journalAbbreviation":"Contemp Clin Trials","language":"eng","author":[{"family":"Jung","given":"Sin-Ho"}],"issued":{"date-parts":[["2015",5]]}}}],"schema":"https://github.com/citation-style-language/schema/raw/master/csl-citation.json"} </w:instrText>
      </w:r>
      <w:r w:rsidRPr="00FB1858">
        <w:rPr>
          <w:color w:val="000000" w:themeColor="text1"/>
          <w:sz w:val="20"/>
          <w:szCs w:val="20"/>
        </w:rPr>
        <w:fldChar w:fldCharType="separate"/>
      </w:r>
      <w:r w:rsidR="006B107E" w:rsidRPr="00FB1858">
        <w:rPr>
          <w:color w:val="000000" w:themeColor="text1"/>
          <w:sz w:val="20"/>
          <w:szCs w:val="20"/>
          <w:vertAlign w:val="superscript"/>
        </w:rPr>
        <w:t>7</w:t>
      </w:r>
      <w:r w:rsidRPr="00FB1858">
        <w:rPr>
          <w:color w:val="000000" w:themeColor="text1"/>
          <w:sz w:val="20"/>
          <w:szCs w:val="20"/>
        </w:rPr>
        <w:fldChar w:fldCharType="end"/>
      </w:r>
      <w:r w:rsidRPr="00FB1858">
        <w:rPr>
          <w:color w:val="000000" w:themeColor="text1"/>
          <w:sz w:val="20"/>
          <w:szCs w:val="20"/>
        </w:rPr>
        <w:t xml:space="preserve"> R “</w:t>
      </w:r>
      <w:proofErr w:type="spellStart"/>
      <w:r w:rsidRPr="00FB1858">
        <w:rPr>
          <w:color w:val="000000" w:themeColor="text1"/>
          <w:sz w:val="20"/>
          <w:szCs w:val="20"/>
        </w:rPr>
        <w:t>Clinfun</w:t>
      </w:r>
      <w:proofErr w:type="spellEnd"/>
      <w:r w:rsidRPr="00FB1858">
        <w:rPr>
          <w:color w:val="000000" w:themeColor="text1"/>
          <w:sz w:val="20"/>
          <w:szCs w:val="20"/>
        </w:rPr>
        <w:t>” library (function “ph2simon”)</w:t>
      </w:r>
      <w:r w:rsidRPr="00FB1858">
        <w:rPr>
          <w:color w:val="000000" w:themeColor="text1"/>
          <w:sz w:val="20"/>
          <w:szCs w:val="20"/>
        </w:rPr>
        <w:fldChar w:fldCharType="begin"/>
      </w:r>
      <w:r w:rsidR="00C1051D" w:rsidRPr="00A34C21">
        <w:rPr>
          <w:color w:val="000000" w:themeColor="text1"/>
          <w:sz w:val="20"/>
          <w:szCs w:val="20"/>
        </w:rPr>
        <w:instrText xml:space="preserve"> ADDIN ZOTERO_ITEM CSL_CITATION {"citationID":"QmEkLjV7","properties":{"formattedCitation":"\\super 10\\nosupersub{}","plainCitation":"10","noteIndex":0},"citationItems":[{"id":1027,"uris":["http://zotero.org/users/921050/items/SW2PFZQG"],"uri":["http://zotero.org/users/921050/items/SW2PFZQG"],"itemData":{"id":1027,"type":"webpage","title":"Package 'clinfun' - Clinical Trial Design and Data Analysis Functions. Version 1.0.14","container-title":"https://cran.r-project.org/web/packages/clinfun/clinfun.pdf","abstract":"Utilities to make your clinical collaborations easier if not\nfun. It contains functions for designing studies such as Simon\n2-stage and group sequential designs and for data analysis such\nas Jonckheere-Terpstra test and estimating survival quantiles.","language":"English","author":[{"literal":"Venkatraman E. Seshan"}],"issued":{"date-parts":[["2017",4,25]]}}}],"schema":"https://github.com/citation-style-language/schema/raw/master/csl-citation.json"} </w:instrText>
      </w:r>
      <w:r w:rsidRPr="00FB1858">
        <w:rPr>
          <w:color w:val="000000" w:themeColor="text1"/>
          <w:sz w:val="20"/>
          <w:szCs w:val="20"/>
        </w:rPr>
        <w:fldChar w:fldCharType="separate"/>
      </w:r>
      <w:r w:rsidR="00C1051D" w:rsidRPr="00FB1858">
        <w:rPr>
          <w:color w:val="000000"/>
          <w:sz w:val="20"/>
          <w:szCs w:val="20"/>
          <w:vertAlign w:val="superscript"/>
        </w:rPr>
        <w:t>10</w:t>
      </w:r>
      <w:r w:rsidRPr="00FB1858">
        <w:rPr>
          <w:color w:val="000000" w:themeColor="text1"/>
          <w:sz w:val="20"/>
          <w:szCs w:val="20"/>
        </w:rPr>
        <w:fldChar w:fldCharType="end"/>
      </w:r>
      <w:r w:rsidRPr="00FB1858">
        <w:rPr>
          <w:color w:val="000000" w:themeColor="text1"/>
          <w:sz w:val="20"/>
          <w:szCs w:val="20"/>
        </w:rPr>
        <w:t xml:space="preserve"> was used to find the optimal and minimax two-stage Simon’s designs (a</w:t>
      </w:r>
      <w:r w:rsidRPr="00FB1858">
        <w:rPr>
          <w:color w:val="000000" w:themeColor="text1"/>
          <w:sz w:val="20"/>
          <w:szCs w:val="20"/>
          <w:vertAlign w:val="subscript"/>
        </w:rPr>
        <w:t>1</w:t>
      </w:r>
      <w:r w:rsidRPr="00FB1858">
        <w:rPr>
          <w:color w:val="000000" w:themeColor="text1"/>
          <w:sz w:val="20"/>
          <w:szCs w:val="20"/>
        </w:rPr>
        <w:t>, n</w:t>
      </w:r>
      <w:r w:rsidRPr="00FB1858">
        <w:rPr>
          <w:color w:val="000000" w:themeColor="text1"/>
          <w:sz w:val="20"/>
          <w:szCs w:val="20"/>
          <w:vertAlign w:val="subscript"/>
        </w:rPr>
        <w:t>1</w:t>
      </w:r>
      <w:r w:rsidRPr="00FB1858">
        <w:rPr>
          <w:color w:val="000000" w:themeColor="text1"/>
          <w:sz w:val="20"/>
          <w:szCs w:val="20"/>
        </w:rPr>
        <w:t>/a, n) under specific constraints (p</w:t>
      </w:r>
      <w:r w:rsidRPr="00FB1858">
        <w:rPr>
          <w:color w:val="000000" w:themeColor="text1"/>
          <w:sz w:val="20"/>
          <w:szCs w:val="20"/>
          <w:vertAlign w:val="subscript"/>
        </w:rPr>
        <w:t>0</w:t>
      </w:r>
      <w:r w:rsidRPr="00FB1858">
        <w:rPr>
          <w:color w:val="000000" w:themeColor="text1"/>
          <w:sz w:val="20"/>
          <w:szCs w:val="20"/>
        </w:rPr>
        <w:t>, p</w:t>
      </w:r>
      <w:r w:rsidRPr="00FB1858">
        <w:rPr>
          <w:color w:val="000000" w:themeColor="text1"/>
          <w:sz w:val="20"/>
          <w:szCs w:val="20"/>
          <w:vertAlign w:val="subscript"/>
        </w:rPr>
        <w:t>1</w:t>
      </w:r>
      <w:r w:rsidRPr="00FB1858">
        <w:rPr>
          <w:color w:val="000000" w:themeColor="text1"/>
          <w:sz w:val="20"/>
          <w:szCs w:val="20"/>
        </w:rPr>
        <w:t>, α and 1 ‒ β). We calculated all possible p</w:t>
      </w:r>
      <w:r w:rsidRPr="00FB1858">
        <w:rPr>
          <w:color w:val="000000" w:themeColor="text1"/>
          <w:sz w:val="20"/>
          <w:szCs w:val="20"/>
          <w:vertAlign w:val="subscript"/>
        </w:rPr>
        <w:t>0</w:t>
      </w:r>
      <w:r w:rsidRPr="00FB1858">
        <w:rPr>
          <w:color w:val="000000" w:themeColor="text1"/>
          <w:sz w:val="20"/>
          <w:szCs w:val="20"/>
        </w:rPr>
        <w:t xml:space="preserve"> ranging between 0.05 to 0.95 in 0.05 increments. We assumed in all designs a 0.15 percentage difference with p</w:t>
      </w:r>
      <w:r w:rsidRPr="00FB1858">
        <w:rPr>
          <w:color w:val="000000" w:themeColor="text1"/>
          <w:sz w:val="20"/>
          <w:szCs w:val="20"/>
          <w:vertAlign w:val="subscript"/>
        </w:rPr>
        <w:t>1</w:t>
      </w:r>
      <w:r w:rsidRPr="00FB1858">
        <w:rPr>
          <w:color w:val="000000" w:themeColor="text1"/>
          <w:sz w:val="20"/>
          <w:szCs w:val="20"/>
        </w:rPr>
        <w:t>. Six scenarios have been assumed in accordance with type I and II error constraints. The type I error values were 0.1, 0.05, and 0.01 and the type II error values were 0.2 and 0.1. For each design, we calculated the lower number of responding patients at final analysis (a</w:t>
      </w:r>
      <w:r w:rsidRPr="00FB1858">
        <w:rPr>
          <w:color w:val="000000" w:themeColor="text1"/>
          <w:sz w:val="20"/>
          <w:szCs w:val="20"/>
          <w:vertAlign w:val="subscript"/>
        </w:rPr>
        <w:t>ni</w:t>
      </w:r>
      <w:r w:rsidRPr="00FB1858">
        <w:rPr>
          <w:color w:val="000000" w:themeColor="text1"/>
          <w:sz w:val="20"/>
          <w:szCs w:val="20"/>
        </w:rPr>
        <w:t>), required to declare the NI hypothesis to be statistically significant for type I and II errors assumed in superiority design. The NIMs selected to formulate the rejection proportion (p0</w:t>
      </w:r>
      <w:r w:rsidRPr="00FB1858">
        <w:rPr>
          <w:color w:val="000000" w:themeColor="text1"/>
          <w:sz w:val="20"/>
          <w:szCs w:val="20"/>
          <w:vertAlign w:val="subscript"/>
        </w:rPr>
        <w:t>ni</w:t>
      </w:r>
      <w:r w:rsidRPr="00FB1858">
        <w:rPr>
          <w:color w:val="000000" w:themeColor="text1"/>
          <w:sz w:val="20"/>
          <w:szCs w:val="20"/>
        </w:rPr>
        <w:t xml:space="preserve"> = p</w:t>
      </w:r>
      <w:r w:rsidRPr="00FB1858">
        <w:rPr>
          <w:color w:val="000000" w:themeColor="text1"/>
          <w:sz w:val="20"/>
          <w:szCs w:val="20"/>
          <w:vertAlign w:val="subscript"/>
        </w:rPr>
        <w:t xml:space="preserve">0 </w:t>
      </w:r>
      <w:r w:rsidRPr="00FB1858">
        <w:rPr>
          <w:color w:val="000000" w:themeColor="text1"/>
          <w:sz w:val="20"/>
          <w:szCs w:val="20"/>
        </w:rPr>
        <w:t>/ NIM) ranged between 1.15 to 1.45 in 0.05 increments</w:t>
      </w:r>
      <w:r w:rsidR="001771EC" w:rsidRPr="00FB1858">
        <w:rPr>
          <w:color w:val="000000" w:themeColor="text1"/>
          <w:sz w:val="20"/>
          <w:szCs w:val="20"/>
        </w:rPr>
        <w:t>.</w:t>
      </w:r>
      <w:r w:rsidRPr="00FB1858">
        <w:rPr>
          <w:color w:val="000000" w:themeColor="text1"/>
          <w:sz w:val="20"/>
          <w:szCs w:val="20"/>
        </w:rPr>
        <w:fldChar w:fldCharType="begin"/>
      </w:r>
      <w:r w:rsidR="00C1051D" w:rsidRPr="00A34C21">
        <w:rPr>
          <w:color w:val="000000" w:themeColor="text1"/>
          <w:sz w:val="20"/>
          <w:szCs w:val="20"/>
        </w:rPr>
        <w:instrText xml:space="preserve"> ADDIN ZOTERO_ITEM CSL_CITATION {"citationID":"77R85lm8","properties":{"formattedCitation":"\\super 11\\nosupersub{}","plainCitation":"11","noteIndex":0},"citationItems":[{"id":1059,"uris":["http://zotero.org/users/921050/items/Q7NHD5AZ"],"uri":["http://zotero.org/users/921050/items/Q7NHD5AZ"],"itemData":{"id":1059,"type":"article-journal","title":"Statistical issues and recommendations for noninferiority trials in oncology: a systematic review","container-title":"Clinical Cancer Research: An Official Journal of the American Association for Cancer Research","page":"1837-1847","volume":"18","issue":"7","source":"PubMed","abstract":"To provide an overview of noninferiority trials in oncology with a special emphasis on methodologic issues, we conducted a systematic review of randomized trials assessing noninferiority of antineoplastic treatments. We identified 72 articles, of which 65 were randomized phase III trials with a single control arm, 3 were factorial phase III trials, and 4 were randomized phase II trials. Forty-six were trials in lung, colorectal, or breast cancer. The quality of reporting was improved chronologically (P &lt; 0.01); the major deficiencies were claims of noninferiority when the results did not meet statistical criteria for noninferiority (7 articles) or when the noninferiority margin was not prespecified (5 articles). Four trials (6%) presented plans for switching from superiority to noninferiority. The analysis populations were intent to treat (ITT) in 52, per-protocol set (PPS) in 6, and both ITT and PPS in 11 trials. Noninferiority margins were set in 68 trials (94%); 1 trial used both of the conventional and effect retention methods, 17 trials used the conventional method, 5 trials used the effect retention method, and in 45 trials, the method was not specified. Some trials used margins that possibly were larger than the assured effects of the active controls. No trials explicitly took into consideration uncertainty in historical data. Two trials (3%) specified 2 values of margins. Our findings highlight critical deficiencies in design and reporting of noninferiority trials. Seven practical recommendations are presented.","DOI":"10.1158/1078-0432.CCR-11-1653","ISSN":"1078-0432","note":"PMID: 22317762","title-short":"Statistical issues and recommendations for noninferiority trials in oncology","journalAbbreviation":"Clin. Cancer Res.","language":"eng","author":[{"family":"Tanaka","given":"Shiro"},{"family":"Kinjo","given":"Yousuke"},{"family":"Kataoka","given":"Yoshiki"},{"family":"Yoshimura","given":"Kenichi"},{"family":"Teramukai","given":"Satoshi"}],"issued":{"date-parts":[["2012",4,1]]}}}],"schema":"https://github.com/citation-style-language/schema/raw/master/csl-citation.json"} </w:instrText>
      </w:r>
      <w:r w:rsidRPr="00FB1858">
        <w:rPr>
          <w:color w:val="000000" w:themeColor="text1"/>
          <w:sz w:val="20"/>
          <w:szCs w:val="20"/>
        </w:rPr>
        <w:fldChar w:fldCharType="separate"/>
      </w:r>
      <w:r w:rsidR="00C1051D" w:rsidRPr="00FB1858">
        <w:rPr>
          <w:color w:val="000000"/>
          <w:sz w:val="20"/>
          <w:szCs w:val="20"/>
          <w:vertAlign w:val="superscript"/>
        </w:rPr>
        <w:t>11</w:t>
      </w:r>
      <w:r w:rsidRPr="00FB1858">
        <w:rPr>
          <w:color w:val="000000" w:themeColor="text1"/>
          <w:sz w:val="20"/>
          <w:szCs w:val="20"/>
        </w:rPr>
        <w:fldChar w:fldCharType="end"/>
      </w:r>
      <w:r w:rsidRPr="00FB1858">
        <w:rPr>
          <w:color w:val="000000" w:themeColor="text1"/>
          <w:sz w:val="20"/>
          <w:szCs w:val="20"/>
        </w:rPr>
        <w:t xml:space="preserve"> Moreover, we consider the NIM with value of 1 to include the designs where superiority analysis was not switched. A total of 12,768 two-stage Simon’s optimal and minimax designs were computed.</w:t>
      </w:r>
    </w:p>
    <w:p w14:paraId="038F7777" w14:textId="1CE2BFF4"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Simulation was used to calculate probability of type I (alpha) and II (beta) errors in every design under the number of events selected at final analysis (a</w:t>
      </w:r>
      <w:r w:rsidRPr="00FB1858">
        <w:rPr>
          <w:color w:val="000000" w:themeColor="text1"/>
          <w:sz w:val="20"/>
          <w:szCs w:val="20"/>
          <w:vertAlign w:val="subscript"/>
        </w:rPr>
        <w:t>ni</w:t>
      </w:r>
      <w:r w:rsidRPr="00FB1858">
        <w:rPr>
          <w:color w:val="000000" w:themeColor="text1"/>
          <w:sz w:val="20"/>
          <w:szCs w:val="20"/>
        </w:rPr>
        <w:t>). We generated binomial random samples (function “</w:t>
      </w:r>
      <w:proofErr w:type="spellStart"/>
      <w:r w:rsidRPr="00FB1858">
        <w:rPr>
          <w:color w:val="000000" w:themeColor="text1"/>
          <w:sz w:val="20"/>
          <w:szCs w:val="20"/>
        </w:rPr>
        <w:t>Rbinom</w:t>
      </w:r>
      <w:proofErr w:type="spellEnd"/>
      <w:r w:rsidRPr="00FB1858">
        <w:rPr>
          <w:color w:val="000000" w:themeColor="text1"/>
          <w:sz w:val="20"/>
          <w:szCs w:val="20"/>
        </w:rPr>
        <w:t>”) based on (a</w:t>
      </w:r>
      <w:proofErr w:type="gramStart"/>
      <w:r w:rsidRPr="00FB1858">
        <w:rPr>
          <w:color w:val="000000" w:themeColor="text1"/>
          <w:sz w:val="20"/>
          <w:szCs w:val="20"/>
          <w:vertAlign w:val="subscript"/>
        </w:rPr>
        <w:t>1</w:t>
      </w:r>
      <w:r w:rsidRPr="00FB1858">
        <w:rPr>
          <w:color w:val="000000" w:themeColor="text1"/>
          <w:sz w:val="20"/>
          <w:szCs w:val="20"/>
        </w:rPr>
        <w:t>,n</w:t>
      </w:r>
      <w:proofErr w:type="gramEnd"/>
      <w:r w:rsidRPr="00FB1858">
        <w:rPr>
          <w:color w:val="000000" w:themeColor="text1"/>
          <w:sz w:val="20"/>
          <w:szCs w:val="20"/>
          <w:vertAlign w:val="subscript"/>
        </w:rPr>
        <w:t>1</w:t>
      </w:r>
      <w:r w:rsidRPr="00FB1858">
        <w:rPr>
          <w:color w:val="000000" w:themeColor="text1"/>
          <w:sz w:val="20"/>
          <w:szCs w:val="20"/>
        </w:rPr>
        <w:t>/</w:t>
      </w:r>
      <w:proofErr w:type="spellStart"/>
      <w:r w:rsidRPr="00FB1858">
        <w:rPr>
          <w:color w:val="000000" w:themeColor="text1"/>
          <w:sz w:val="20"/>
          <w:szCs w:val="20"/>
        </w:rPr>
        <w:t>a,n</w:t>
      </w:r>
      <w:proofErr w:type="spellEnd"/>
      <w:r w:rsidRPr="00FB1858">
        <w:rPr>
          <w:color w:val="000000" w:themeColor="text1"/>
          <w:sz w:val="20"/>
          <w:szCs w:val="20"/>
        </w:rPr>
        <w:t>) (</w:t>
      </w:r>
      <w:r w:rsidR="00DE1519" w:rsidRPr="00FB1858">
        <w:rPr>
          <w:color w:val="000000" w:themeColor="text1"/>
          <w:sz w:val="20"/>
          <w:szCs w:val="20"/>
        </w:rPr>
        <w:t>additional file</w:t>
      </w:r>
      <w:r w:rsidR="006F2470" w:rsidRPr="00FB1858">
        <w:rPr>
          <w:color w:val="000000" w:themeColor="text1"/>
          <w:sz w:val="20"/>
          <w:szCs w:val="20"/>
        </w:rPr>
        <w:t>s</w:t>
      </w:r>
      <w:r w:rsidRPr="00FB1858">
        <w:rPr>
          <w:color w:val="000000" w:themeColor="text1"/>
          <w:sz w:val="20"/>
          <w:szCs w:val="20"/>
        </w:rPr>
        <w:t>). Additionally, we calculated the number of random samples generated (</w:t>
      </w:r>
      <w:proofErr w:type="spellStart"/>
      <w:r w:rsidRPr="00FB1858">
        <w:rPr>
          <w:color w:val="000000" w:themeColor="text1"/>
          <w:sz w:val="20"/>
          <w:szCs w:val="20"/>
        </w:rPr>
        <w:t>NSim</w:t>
      </w:r>
      <w:proofErr w:type="spellEnd"/>
      <w:r w:rsidRPr="00FB1858">
        <w:rPr>
          <w:color w:val="000000" w:themeColor="text1"/>
          <w:sz w:val="20"/>
          <w:szCs w:val="20"/>
        </w:rPr>
        <w:t xml:space="preserve">) needed to attain a 95% </w:t>
      </w:r>
      <w:r w:rsidR="001B2B14" w:rsidRPr="00FB1858">
        <w:rPr>
          <w:color w:val="000000" w:themeColor="text1"/>
          <w:sz w:val="20"/>
          <w:szCs w:val="20"/>
        </w:rPr>
        <w:t>confidence</w:t>
      </w:r>
      <w:r w:rsidRPr="00FB1858">
        <w:rPr>
          <w:color w:val="000000" w:themeColor="text1"/>
          <w:sz w:val="20"/>
          <w:szCs w:val="20"/>
        </w:rPr>
        <w:t xml:space="preserve"> (z</w:t>
      </w:r>
      <w:r w:rsidRPr="00FB1858">
        <w:rPr>
          <w:color w:val="000000" w:themeColor="text1"/>
          <w:sz w:val="20"/>
          <w:szCs w:val="20"/>
          <w:vertAlign w:val="subscript"/>
        </w:rPr>
        <w:t>(0,025)</w:t>
      </w:r>
      <w:r w:rsidRPr="00FB1858">
        <w:rPr>
          <w:color w:val="000000" w:themeColor="text1"/>
          <w:sz w:val="20"/>
          <w:szCs w:val="20"/>
        </w:rPr>
        <w:t>) that simulated values of alpha and beta errors (</w:t>
      </w:r>
      <w:r w:rsidR="00123D1F">
        <w:rPr>
          <w:color w:val="000000" w:themeColor="text1"/>
          <w:sz w:val="20"/>
          <w:szCs w:val="20"/>
        </w:rPr>
        <w:t>E</w:t>
      </w:r>
      <w:r w:rsidRPr="00FB1858">
        <w:rPr>
          <w:color w:val="000000" w:themeColor="text1"/>
          <w:sz w:val="20"/>
          <w:szCs w:val="20"/>
        </w:rPr>
        <w:t>) are within 0.5</w:t>
      </w:r>
      <w:r w:rsidR="00A44850" w:rsidRPr="00FB1858">
        <w:rPr>
          <w:color w:val="000000" w:themeColor="text1"/>
          <w:sz w:val="20"/>
          <w:szCs w:val="20"/>
        </w:rPr>
        <w:t>%</w:t>
      </w:r>
      <w:r w:rsidRPr="00FB1858">
        <w:rPr>
          <w:color w:val="000000" w:themeColor="text1"/>
          <w:sz w:val="20"/>
          <w:szCs w:val="20"/>
        </w:rPr>
        <w:t xml:space="preserve"> of true values.</w:t>
      </w:r>
      <w:r w:rsidR="00CF60FE" w:rsidRPr="00FB1858">
        <w:rPr>
          <w:color w:val="000000" w:themeColor="text1"/>
          <w:sz w:val="20"/>
          <w:szCs w:val="20"/>
        </w:rPr>
        <w:t xml:space="preserve"> </w:t>
      </w:r>
      <w:r w:rsidR="00CF60FE" w:rsidRPr="00FB1858">
        <w:rPr>
          <w:color w:val="000000" w:themeColor="text1"/>
          <w:sz w:val="20"/>
          <w:szCs w:val="20"/>
        </w:rPr>
        <w:fldChar w:fldCharType="begin"/>
      </w:r>
      <w:r w:rsidR="00C1051D" w:rsidRPr="00A34C21">
        <w:rPr>
          <w:color w:val="000000" w:themeColor="text1"/>
          <w:sz w:val="20"/>
          <w:szCs w:val="20"/>
        </w:rPr>
        <w:instrText xml:space="preserve"> ADDIN ZOTERO_ITEM CSL_CITATION {"citationID":"UlvgXyaT","properties":{"formattedCitation":"\\super 12\\nosupersub{}","plainCitation":"12","noteIndex":0},"citationItems":[{"id":1026,"uris":["http://zotero.org/users/921050/items/WX5HIGI2"],"uri":["http://zotero.org/users/921050/items/WX5HIGI2"],"itemData":{"id":1026,"type":"webpage","title":"Monte Carlo Simulations: Number of Iterations and Accuracy","container-title":"www.dtic.mil/get-tr-doc/pdf?AD=ADA621501","abstract":"This report focuses on 2 related topics, the number of Monte Carlo iterations and the accuracy or error in the estimation of the\nmean of the probability distribution for the quantity of interest being analyzed. For most Monte Carlo simulations, it is the\nestimation of this mean that is desired. These 2 topics are related through the central limit theorem, and given one, the other\ncan be determined when combined with the sample information for large sample sizes. Issues associated with small sample\nsize have been mentioned and discussed in more detail for quantities of interest with a normal distribution.","language":"English","author":[{"literal":"William Oberle"},{"literal":"Weapons and Materials Research Directorate, ARL"}],"issued":{"date-parts":[["2015",7]]}}}],"schema":"https://github.com/citation-style-language/schema/raw/master/csl-citation.json"} </w:instrText>
      </w:r>
      <w:r w:rsidR="00CF60FE" w:rsidRPr="00FB1858">
        <w:rPr>
          <w:color w:val="000000" w:themeColor="text1"/>
          <w:sz w:val="20"/>
          <w:szCs w:val="20"/>
        </w:rPr>
        <w:fldChar w:fldCharType="separate"/>
      </w:r>
      <w:r w:rsidR="00C1051D" w:rsidRPr="00FB1858">
        <w:rPr>
          <w:color w:val="000000"/>
          <w:sz w:val="20"/>
          <w:szCs w:val="20"/>
          <w:vertAlign w:val="superscript"/>
          <w:lang w:val="es-ES_tradnl"/>
        </w:rPr>
        <w:t>12</w:t>
      </w:r>
      <w:r w:rsidR="00CF60FE" w:rsidRPr="00FB1858">
        <w:rPr>
          <w:color w:val="000000" w:themeColor="text1"/>
          <w:sz w:val="20"/>
          <w:szCs w:val="20"/>
        </w:rPr>
        <w:fldChar w:fldCharType="end"/>
      </w:r>
      <w:r w:rsidRPr="00FB1858">
        <w:rPr>
          <w:color w:val="000000" w:themeColor="text1"/>
          <w:sz w:val="20"/>
          <w:szCs w:val="20"/>
        </w:rPr>
        <w:t xml:space="preserve"> </w:t>
      </w:r>
      <w:bookmarkStart w:id="1" w:name="_Hlk532850765"/>
      <w:r w:rsidRPr="00FB1858">
        <w:rPr>
          <w:color w:val="000000" w:themeColor="text1"/>
          <w:sz w:val="20"/>
          <w:szCs w:val="20"/>
        </w:rPr>
        <w:t xml:space="preserve">Therefore, we accepted maximum differences between calculated and simulated </w:t>
      </w:r>
      <w:r w:rsidR="00A44850" w:rsidRPr="00FB1858">
        <w:rPr>
          <w:color w:val="000000" w:themeColor="text1"/>
          <w:sz w:val="20"/>
          <w:szCs w:val="20"/>
        </w:rPr>
        <w:t>values (alpha and beta</w:t>
      </w:r>
      <w:r w:rsidRPr="00FB1858">
        <w:rPr>
          <w:color w:val="000000" w:themeColor="text1"/>
          <w:sz w:val="20"/>
          <w:szCs w:val="20"/>
        </w:rPr>
        <w:t xml:space="preserve"> errors</w:t>
      </w:r>
      <w:r w:rsidR="00A44850" w:rsidRPr="00FB1858">
        <w:rPr>
          <w:color w:val="000000" w:themeColor="text1"/>
          <w:sz w:val="20"/>
          <w:szCs w:val="20"/>
        </w:rPr>
        <w:t>)</w:t>
      </w:r>
      <w:r w:rsidRPr="00FB1858">
        <w:rPr>
          <w:color w:val="000000" w:themeColor="text1"/>
          <w:sz w:val="20"/>
          <w:szCs w:val="20"/>
        </w:rPr>
        <w:t>, which ranged from 0.095 to 0.0105.</w:t>
      </w:r>
      <w:r w:rsidR="00A76D42" w:rsidRPr="00FB1858">
        <w:rPr>
          <w:color w:val="000000" w:themeColor="text1"/>
          <w:sz w:val="20"/>
          <w:szCs w:val="20"/>
        </w:rPr>
        <w:t xml:space="preserve"> The random seed was computed using R function “</w:t>
      </w:r>
      <w:proofErr w:type="gramStart"/>
      <w:r w:rsidR="00A76D42" w:rsidRPr="00FB1858">
        <w:rPr>
          <w:color w:val="000000" w:themeColor="text1"/>
          <w:sz w:val="20"/>
          <w:szCs w:val="20"/>
        </w:rPr>
        <w:t>sample.int(</w:t>
      </w:r>
      <w:proofErr w:type="gramEnd"/>
      <w:r w:rsidR="00A76D42" w:rsidRPr="00FB1858">
        <w:rPr>
          <w:color w:val="000000" w:themeColor="text1"/>
          <w:sz w:val="20"/>
          <w:szCs w:val="20"/>
        </w:rPr>
        <w:t>.</w:t>
      </w:r>
      <w:proofErr w:type="spellStart"/>
      <w:r w:rsidR="00A76D42" w:rsidRPr="00FB1858">
        <w:rPr>
          <w:color w:val="000000" w:themeColor="text1"/>
          <w:sz w:val="20"/>
          <w:szCs w:val="20"/>
        </w:rPr>
        <w:t>Machine$integer.max</w:t>
      </w:r>
      <w:proofErr w:type="spellEnd"/>
      <w:r w:rsidR="00A76D42" w:rsidRPr="00FB1858">
        <w:rPr>
          <w:color w:val="000000" w:themeColor="text1"/>
          <w:sz w:val="20"/>
          <w:szCs w:val="20"/>
        </w:rPr>
        <w:t>, 1)” and was the integer 1440679596</w:t>
      </w:r>
      <w:bookmarkEnd w:id="1"/>
      <w:r w:rsidR="00A76D42" w:rsidRPr="00FB1858">
        <w:rPr>
          <w:color w:val="000000" w:themeColor="text1"/>
          <w:sz w:val="20"/>
          <w:szCs w:val="20"/>
        </w:rPr>
        <w:t>.</w:t>
      </w:r>
    </w:p>
    <w:p w14:paraId="31E6B971" w14:textId="78CB2AA1"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 xml:space="preserve">According to the </w:t>
      </w:r>
      <w:r w:rsidRPr="00FB1858">
        <w:rPr>
          <w:b/>
          <w:color w:val="000000" w:themeColor="text1"/>
          <w:sz w:val="20"/>
          <w:szCs w:val="20"/>
        </w:rPr>
        <w:t>Equation 4</w:t>
      </w:r>
      <w:r w:rsidR="006B107E" w:rsidRPr="00FB1858">
        <w:rPr>
          <w:b/>
          <w:color w:val="000000" w:themeColor="text1"/>
          <w:sz w:val="20"/>
          <w:szCs w:val="20"/>
        </w:rPr>
        <w:t>:</w:t>
      </w:r>
      <w:r w:rsidRPr="00FB1858">
        <w:rPr>
          <w:color w:val="000000" w:themeColor="text1"/>
          <w:sz w:val="20"/>
          <w:szCs w:val="20"/>
        </w:rPr>
        <w:fldChar w:fldCharType="begin"/>
      </w:r>
      <w:r w:rsidR="00C1051D" w:rsidRPr="00A34C21">
        <w:rPr>
          <w:color w:val="000000" w:themeColor="text1"/>
          <w:sz w:val="20"/>
          <w:szCs w:val="20"/>
        </w:rPr>
        <w:instrText xml:space="preserve"> ADDIN ZOTERO_ITEM CSL_CITATION {"citationID":"pwISiHE1","properties":{"formattedCitation":"\\super 12\\nosupersub{}","plainCitation":"12","noteIndex":0},"citationItems":[{"id":1026,"uris":["http://zotero.org/users/921050/items/WX5HIGI2"],"uri":["http://zotero.org/users/921050/items/WX5HIGI2"],"itemData":{"id":1026,"type":"webpage","title":"Monte Carlo Simulations: Number of Iterations and Accuracy","container-title":"www.dtic.mil/get-tr-doc/pdf?AD=ADA621501","abstract":"This report focuses on 2 related topics, the number of Monte Carlo iterations and the accuracy or error in the estimation of the\nmean of the probability distribution for the quantity of interest being analyzed. For most Monte Carlo simulations, it is the\nestimation of this mean that is desired. These 2 topics are related through the central limit theorem, and given one, the other\ncan be determined when combined with the sample information for large sample sizes. Issues associated with small sample\nsize have been mentioned and discussed in more detail for quantities of interest with a normal distribution.","language":"English","author":[{"literal":"William Oberle"},{"literal":"Weapons and Materials Research Directorate, ARL"}],"issued":{"date-parts":[["2015",7]]}}}],"schema":"https://github.com/citation-style-language/schema/raw/master/csl-citation.json"} </w:instrText>
      </w:r>
      <w:r w:rsidRPr="00FB1858">
        <w:rPr>
          <w:color w:val="000000" w:themeColor="text1"/>
          <w:sz w:val="20"/>
          <w:szCs w:val="20"/>
        </w:rPr>
        <w:fldChar w:fldCharType="separate"/>
      </w:r>
      <w:r w:rsidR="00C1051D" w:rsidRPr="00FB1858">
        <w:rPr>
          <w:color w:val="000000"/>
          <w:sz w:val="20"/>
          <w:szCs w:val="20"/>
          <w:vertAlign w:val="superscript"/>
          <w:lang w:val="es-ES_tradnl"/>
        </w:rPr>
        <w:t>12</w:t>
      </w:r>
      <w:r w:rsidRPr="00FB1858">
        <w:rPr>
          <w:color w:val="000000" w:themeColor="text1"/>
          <w:sz w:val="20"/>
          <w:szCs w:val="20"/>
        </w:rPr>
        <w:fldChar w:fldCharType="end"/>
      </w:r>
    </w:p>
    <w:p w14:paraId="2B75ED97" w14:textId="77777777" w:rsidR="001771EC" w:rsidRPr="00FB1858" w:rsidRDefault="001771EC" w:rsidP="00FB1858">
      <w:pPr>
        <w:tabs>
          <w:tab w:val="left" w:pos="3700"/>
        </w:tabs>
        <w:spacing w:line="480" w:lineRule="auto"/>
        <w:rPr>
          <w:color w:val="000000" w:themeColor="text1"/>
          <w:sz w:val="20"/>
          <w:szCs w:val="20"/>
        </w:rPr>
      </w:pPr>
    </w:p>
    <w:p w14:paraId="7B64FA24" w14:textId="03A1D611" w:rsidR="002F06E6" w:rsidRPr="00FB1858" w:rsidRDefault="002F06E6" w:rsidP="00FB1858">
      <w:pPr>
        <w:tabs>
          <w:tab w:val="left" w:pos="3700"/>
        </w:tabs>
        <w:spacing w:line="480" w:lineRule="auto"/>
        <w:ind w:firstLine="284"/>
        <w:rPr>
          <w:color w:val="000000" w:themeColor="text1"/>
          <w:sz w:val="20"/>
          <w:szCs w:val="20"/>
        </w:rPr>
      </w:pPr>
      <w:proofErr w:type="spellStart"/>
      <w:r w:rsidRPr="00FB1858">
        <w:rPr>
          <w:color w:val="000000" w:themeColor="text1"/>
          <w:sz w:val="20"/>
          <w:szCs w:val="20"/>
        </w:rPr>
        <w:lastRenderedPageBreak/>
        <w:t>NSim</w:t>
      </w:r>
      <w:proofErr w:type="spellEnd"/>
      <w:r w:rsidRPr="00FB1858">
        <w:rPr>
          <w:color w:val="000000" w:themeColor="text1"/>
          <w:sz w:val="20"/>
          <w:szCs w:val="20"/>
        </w:rPr>
        <w:t xml:space="preserve"> = (</w:t>
      </w:r>
      <w:r w:rsidR="00A25EE5" w:rsidRPr="00FB1858">
        <w:rPr>
          <w:color w:val="000000" w:themeColor="text1"/>
          <w:sz w:val="20"/>
          <w:szCs w:val="20"/>
        </w:rPr>
        <w:t>Z</w:t>
      </w:r>
      <w:r w:rsidR="00A25EE5" w:rsidRPr="00FB1858">
        <w:rPr>
          <w:color w:val="000000" w:themeColor="text1"/>
          <w:sz w:val="20"/>
          <w:szCs w:val="20"/>
          <w:vertAlign w:val="subscript"/>
        </w:rPr>
        <w:t>α/2</w:t>
      </w:r>
      <w:r w:rsidRPr="00FB1858">
        <w:rPr>
          <w:color w:val="000000" w:themeColor="text1"/>
          <w:sz w:val="20"/>
          <w:szCs w:val="20"/>
        </w:rPr>
        <w:t xml:space="preserve">* 100* </w:t>
      </w:r>
      <w:proofErr w:type="spellStart"/>
      <w:r w:rsidRPr="00FB1858">
        <w:rPr>
          <w:color w:val="000000" w:themeColor="text1"/>
          <w:sz w:val="20"/>
          <w:szCs w:val="20"/>
        </w:rPr>
        <w:t>sd</w:t>
      </w:r>
      <w:proofErr w:type="spellEnd"/>
      <w:r w:rsidRPr="00FB1858">
        <w:rPr>
          <w:color w:val="000000" w:themeColor="text1"/>
          <w:sz w:val="20"/>
          <w:szCs w:val="20"/>
        </w:rPr>
        <w:t xml:space="preserve"> / (</w:t>
      </w:r>
      <w:r w:rsidR="00123D1F">
        <w:rPr>
          <w:color w:val="000000" w:themeColor="text1"/>
          <w:sz w:val="20"/>
          <w:szCs w:val="20"/>
        </w:rPr>
        <w:t>E</w:t>
      </w:r>
      <w:r w:rsidRPr="00FB1858">
        <w:rPr>
          <w:color w:val="000000" w:themeColor="text1"/>
          <w:sz w:val="20"/>
          <w:szCs w:val="20"/>
        </w:rPr>
        <w:t xml:space="preserve"> * </w:t>
      </w:r>
      <w:r w:rsidR="00123D1F">
        <w:rPr>
          <w:color w:val="000000" w:themeColor="text1"/>
          <w:sz w:val="20"/>
          <w:szCs w:val="20"/>
        </w:rPr>
        <w:t>y</w:t>
      </w:r>
      <w:proofErr w:type="gramStart"/>
      <w:r w:rsidRPr="00FB1858">
        <w:rPr>
          <w:color w:val="000000" w:themeColor="text1"/>
          <w:sz w:val="20"/>
          <w:szCs w:val="20"/>
        </w:rPr>
        <w:t>))^</w:t>
      </w:r>
      <w:proofErr w:type="gramEnd"/>
      <w:r w:rsidRPr="00FB1858">
        <w:rPr>
          <w:color w:val="000000" w:themeColor="text1"/>
          <w:sz w:val="20"/>
          <w:szCs w:val="20"/>
        </w:rPr>
        <w:t>2</w:t>
      </w:r>
      <w:r w:rsidRPr="00FB1858">
        <w:rPr>
          <w:color w:val="000000" w:themeColor="text1"/>
          <w:sz w:val="20"/>
          <w:szCs w:val="20"/>
        </w:rPr>
        <w:tab/>
      </w:r>
      <w:r w:rsidRPr="00FB1858">
        <w:rPr>
          <w:color w:val="000000" w:themeColor="text1"/>
          <w:sz w:val="20"/>
          <w:szCs w:val="20"/>
        </w:rPr>
        <w:tab/>
      </w:r>
      <w:r w:rsidRPr="00FB1858">
        <w:rPr>
          <w:color w:val="000000" w:themeColor="text1"/>
          <w:sz w:val="20"/>
          <w:szCs w:val="20"/>
        </w:rPr>
        <w:tab/>
      </w:r>
      <w:r w:rsidRPr="00FB1858">
        <w:rPr>
          <w:color w:val="000000" w:themeColor="text1"/>
          <w:sz w:val="20"/>
          <w:szCs w:val="20"/>
        </w:rPr>
        <w:tab/>
      </w:r>
      <w:r w:rsidRPr="00FB1858">
        <w:rPr>
          <w:color w:val="000000" w:themeColor="text1"/>
          <w:sz w:val="20"/>
          <w:szCs w:val="20"/>
        </w:rPr>
        <w:tab/>
        <w:t>(</w:t>
      </w:r>
      <w:r w:rsidRPr="00FB1858">
        <w:rPr>
          <w:rFonts w:eastAsiaTheme="minorEastAsia"/>
          <w:b/>
          <w:color w:val="000000" w:themeColor="text1"/>
          <w:sz w:val="20"/>
          <w:szCs w:val="20"/>
        </w:rPr>
        <w:t>Equation</w:t>
      </w:r>
      <w:r w:rsidRPr="00FB1858">
        <w:rPr>
          <w:color w:val="000000" w:themeColor="text1"/>
          <w:sz w:val="20"/>
          <w:szCs w:val="20"/>
        </w:rPr>
        <w:t xml:space="preserve"> </w:t>
      </w:r>
      <w:r w:rsidRPr="00FB1858">
        <w:rPr>
          <w:b/>
          <w:color w:val="000000" w:themeColor="text1"/>
          <w:sz w:val="20"/>
          <w:szCs w:val="20"/>
        </w:rPr>
        <w:t>4</w:t>
      </w:r>
      <w:r w:rsidRPr="00FB1858">
        <w:rPr>
          <w:color w:val="000000" w:themeColor="text1"/>
          <w:sz w:val="20"/>
          <w:szCs w:val="20"/>
        </w:rPr>
        <w:t>)</w:t>
      </w:r>
    </w:p>
    <w:p w14:paraId="6B69D877" w14:textId="77777777" w:rsidR="001771EC" w:rsidRPr="00FB1858" w:rsidRDefault="001771EC" w:rsidP="00FB1858">
      <w:pPr>
        <w:tabs>
          <w:tab w:val="left" w:pos="3700"/>
        </w:tabs>
        <w:spacing w:line="480" w:lineRule="auto"/>
        <w:ind w:firstLine="284"/>
        <w:rPr>
          <w:color w:val="000000" w:themeColor="text1"/>
          <w:sz w:val="20"/>
          <w:szCs w:val="20"/>
        </w:rPr>
      </w:pPr>
    </w:p>
    <w:p w14:paraId="15CA8D2F" w14:textId="30BCF0FD" w:rsidR="001B2B14"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where “</w:t>
      </w:r>
      <w:proofErr w:type="spellStart"/>
      <w:r w:rsidRPr="00FB1858">
        <w:rPr>
          <w:color w:val="000000" w:themeColor="text1"/>
          <w:sz w:val="20"/>
          <w:szCs w:val="20"/>
        </w:rPr>
        <w:t>sd</w:t>
      </w:r>
      <w:proofErr w:type="spellEnd"/>
      <w:r w:rsidRPr="00FB1858">
        <w:rPr>
          <w:color w:val="000000" w:themeColor="text1"/>
          <w:sz w:val="20"/>
          <w:szCs w:val="20"/>
        </w:rPr>
        <w:t>” and “</w:t>
      </w:r>
      <w:r w:rsidR="00123D1F">
        <w:rPr>
          <w:color w:val="000000" w:themeColor="text1"/>
          <w:sz w:val="20"/>
          <w:szCs w:val="20"/>
        </w:rPr>
        <w:t>y</w:t>
      </w:r>
      <w:r w:rsidRPr="00FB1858">
        <w:rPr>
          <w:color w:val="000000" w:themeColor="text1"/>
          <w:sz w:val="20"/>
          <w:szCs w:val="20"/>
        </w:rPr>
        <w:t xml:space="preserve">” represent standard deviation and sample average of type I and II errors with 30 simulations, respectively. </w:t>
      </w:r>
    </w:p>
    <w:p w14:paraId="1EEC8A5C" w14:textId="37A0A34F" w:rsidR="002F06E6" w:rsidRPr="00FB1858" w:rsidRDefault="000A4F4B" w:rsidP="00FB1858">
      <w:pPr>
        <w:tabs>
          <w:tab w:val="left" w:pos="3700"/>
        </w:tabs>
        <w:spacing w:line="480" w:lineRule="auto"/>
        <w:rPr>
          <w:color w:val="000000" w:themeColor="text1"/>
          <w:sz w:val="20"/>
          <w:szCs w:val="20"/>
        </w:rPr>
      </w:pPr>
      <w:r w:rsidRPr="00FB1858">
        <w:rPr>
          <w:color w:val="000000" w:themeColor="text1"/>
          <w:sz w:val="20"/>
          <w:szCs w:val="20"/>
        </w:rPr>
        <w:t>E</w:t>
      </w:r>
      <w:r w:rsidR="001C3DC5" w:rsidRPr="00FB1858">
        <w:rPr>
          <w:color w:val="000000" w:themeColor="text1"/>
          <w:sz w:val="20"/>
          <w:szCs w:val="20"/>
        </w:rPr>
        <w:t xml:space="preserve">ighty </w:t>
      </w:r>
      <w:r w:rsidR="002F06E6" w:rsidRPr="00FB1858">
        <w:rPr>
          <w:color w:val="000000" w:themeColor="text1"/>
          <w:sz w:val="20"/>
          <w:szCs w:val="20"/>
        </w:rPr>
        <w:t>thousand (</w:t>
      </w:r>
      <w:r w:rsidR="001C3DC5" w:rsidRPr="00FB1858">
        <w:rPr>
          <w:color w:val="000000" w:themeColor="text1"/>
          <w:sz w:val="20"/>
          <w:szCs w:val="20"/>
        </w:rPr>
        <w:t>8</w:t>
      </w:r>
      <w:r w:rsidR="002F06E6" w:rsidRPr="00FB1858">
        <w:rPr>
          <w:color w:val="000000" w:themeColor="text1"/>
          <w:sz w:val="20"/>
          <w:szCs w:val="20"/>
        </w:rPr>
        <w:t xml:space="preserve">0,000 ≈ </w:t>
      </w:r>
      <w:r w:rsidR="001C3DC5" w:rsidRPr="00FB1858">
        <w:rPr>
          <w:color w:val="000000" w:themeColor="text1"/>
          <w:sz w:val="20"/>
          <w:szCs w:val="20"/>
        </w:rPr>
        <w:t>74,861</w:t>
      </w:r>
      <w:r w:rsidR="002F06E6" w:rsidRPr="00FB1858">
        <w:rPr>
          <w:color w:val="000000" w:themeColor="text1"/>
          <w:sz w:val="20"/>
          <w:szCs w:val="20"/>
        </w:rPr>
        <w:t xml:space="preserve">) and </w:t>
      </w:r>
      <w:proofErr w:type="spellStart"/>
      <w:r w:rsidR="0049395F" w:rsidRPr="00FB1858">
        <w:rPr>
          <w:color w:val="000000" w:themeColor="text1"/>
          <w:sz w:val="20"/>
          <w:szCs w:val="20"/>
        </w:rPr>
        <w:t>eigthy</w:t>
      </w:r>
      <w:proofErr w:type="spellEnd"/>
      <w:r w:rsidR="001B2B14" w:rsidRPr="00FB1858">
        <w:rPr>
          <w:color w:val="000000" w:themeColor="text1"/>
          <w:sz w:val="20"/>
          <w:szCs w:val="20"/>
        </w:rPr>
        <w:t>-five</w:t>
      </w:r>
      <w:r w:rsidR="002F06E6" w:rsidRPr="00FB1858">
        <w:rPr>
          <w:color w:val="000000" w:themeColor="text1"/>
          <w:sz w:val="20"/>
          <w:szCs w:val="20"/>
        </w:rPr>
        <w:t xml:space="preserve"> thousand (</w:t>
      </w:r>
      <w:r w:rsidRPr="00FB1858">
        <w:rPr>
          <w:color w:val="000000" w:themeColor="text1"/>
          <w:sz w:val="20"/>
          <w:szCs w:val="20"/>
        </w:rPr>
        <w:t>8</w:t>
      </w:r>
      <w:r w:rsidR="00AB5D97" w:rsidRPr="00FB1858">
        <w:rPr>
          <w:color w:val="000000" w:themeColor="text1"/>
          <w:sz w:val="20"/>
          <w:szCs w:val="20"/>
        </w:rPr>
        <w:t>5</w:t>
      </w:r>
      <w:r w:rsidR="002F06E6" w:rsidRPr="00FB1858">
        <w:rPr>
          <w:color w:val="000000" w:themeColor="text1"/>
          <w:sz w:val="20"/>
          <w:szCs w:val="20"/>
        </w:rPr>
        <w:t xml:space="preserve">,000 ≈ </w:t>
      </w:r>
      <w:r w:rsidRPr="00FB1858">
        <w:rPr>
          <w:color w:val="000000" w:themeColor="text1"/>
          <w:sz w:val="20"/>
          <w:szCs w:val="20"/>
        </w:rPr>
        <w:t>83,015</w:t>
      </w:r>
      <w:r w:rsidR="002F06E6" w:rsidRPr="00FB1858">
        <w:rPr>
          <w:color w:val="000000" w:themeColor="text1"/>
          <w:sz w:val="20"/>
          <w:szCs w:val="20"/>
        </w:rPr>
        <w:t xml:space="preserve">) random samples were run for type I and II errors, respectively. </w:t>
      </w:r>
    </w:p>
    <w:p w14:paraId="7384A6FD" w14:textId="0BC8AFAB" w:rsidR="002F06E6" w:rsidRPr="00FB1858" w:rsidRDefault="002F06E6" w:rsidP="00FB1858">
      <w:pPr>
        <w:tabs>
          <w:tab w:val="left" w:pos="3700"/>
        </w:tabs>
        <w:spacing w:line="480" w:lineRule="auto"/>
        <w:rPr>
          <w:color w:val="000000" w:themeColor="text1"/>
          <w:sz w:val="20"/>
          <w:szCs w:val="20"/>
        </w:rPr>
      </w:pPr>
      <w:r w:rsidRPr="00FB1858">
        <w:rPr>
          <w:color w:val="000000" w:themeColor="text1"/>
          <w:sz w:val="20"/>
          <w:szCs w:val="20"/>
        </w:rPr>
        <w:t>Agreement between calculated and simulated values was analyzed with Bland-Altman plots. We plotted the differences betwee</w:t>
      </w:r>
      <w:bookmarkStart w:id="2" w:name="_GoBack"/>
      <w:bookmarkEnd w:id="2"/>
      <w:r w:rsidRPr="00FB1858">
        <w:rPr>
          <w:color w:val="000000" w:themeColor="text1"/>
          <w:sz w:val="20"/>
          <w:szCs w:val="20"/>
        </w:rPr>
        <w:t>n calculated and simulated scores (calculated-simulated) against the average of calculated and simulated scores (calculated + simulated) / 2. The 95% limits of agreement were calculated with traditional methods or the V-shaped procedure if proportional bias was detected between the two measures. Finally, we presented minimum and maximum differences observed between values, because the latter was easier to interpret in terms of clinically acceptable limits</w:t>
      </w:r>
      <w:r w:rsidR="006B107E" w:rsidRPr="00FB1858">
        <w:rPr>
          <w:color w:val="000000" w:themeColor="text1"/>
          <w:sz w:val="20"/>
          <w:szCs w:val="20"/>
        </w:rPr>
        <w:t>.</w:t>
      </w:r>
      <w:r w:rsidRPr="00FB1858">
        <w:rPr>
          <w:color w:val="000000" w:themeColor="text1"/>
          <w:sz w:val="20"/>
          <w:szCs w:val="20"/>
        </w:rPr>
        <w:fldChar w:fldCharType="begin"/>
      </w:r>
      <w:r w:rsidR="00C1051D" w:rsidRPr="00A34C21">
        <w:rPr>
          <w:color w:val="000000" w:themeColor="text1"/>
          <w:sz w:val="20"/>
          <w:szCs w:val="20"/>
        </w:rPr>
        <w:instrText xml:space="preserve"> ADDIN ZOTERO_ITEM CSL_CITATION {"citationID":"2hcac1tkuo","properties":{"formattedCitation":"\\super 13,14\\nosupersub{}","plainCitation":"13,14","noteIndex":0},"citationItems":[{"id":1034,"uris":["http://zotero.org/users/921050/items/K86V3CE9"],"uri":["http://zotero.org/users/921050/items/K86V3CE9"],"itemData":{"id":1034,"type":"article-journal","title":"Critical review of method comparison studies for the evaluation of estimating glomerular filtration rate equations","container-title":"Int J Nephrol Kidney Failure","volume":"Volume 1","issue":"Issue 1","abstract":"Bland and Altman have published their method of differences in 1986 in the Lancet to draw their method to the attention of medical professionals. Bland and Altman always have pointed out that their method of differences is designed to detect bias between methods. Their statistical methodology has found its way among clinical chemists, but it has been criticized in 2002 that a high proportion of clinical chemists misinterpreted or misused the methods of differences. It seems that the Nephrology community is falling into the same traps as clinical chemists if they use the method of differences to compare estimating glomerular filtration rate (eGFR) equations with the direct measurement of GFR (mGFR).","DOI":"http://dx.doi.org/10.16966/ ijnkf.102","author":[{"family":"Pottel","given":"Hans"}],"issued":{"date-parts":[["2015",7]]}},"label":"page"},{"id":1050,"uris":["http://zotero.org/users/921050/items/4G64MRXG"],"uri":["http://zotero.org/users/921050/items/4G64MRXG"],"itemData":{"id":1050,"type":"article-journal","title":"Confidence in Altman-Bland plots: a critical review of the method of differences","container-title":"Clinical and Experimental Pharmacology &amp; Physiology","page":"143-149","volume":"37","issue":"2","source":"PubMed","abstract":"1. Altman and Bland argue that the virtue of plotting differences against averages in method-comparison studies is that 95% confidence limits for the differences can be constructed. These allow authors and readers to judge whether one method of measurement could be substituted for another. 2. The technique is often misused. So I have set out, by statistical argument and worked examples, to advise pharmacologists and physiologists how best to construct these limits. 3. First, construct a scattergram of differences on averages, then calculate the line of best fit for the linear regression of differences on averages. If the slope of the regression is shown to differ from zero, there is proportional bias. 4. If there is no proportional bias and if the scatter of differences is uniform (homoscedasticity), construct 'classical' 95% confidence limits. 5. If there is proportional bias yet homoscedasticity, construct hyperbolic 95% confidence limits (prediction interval) around the line of best fit. 6. If there is proportional bias and the scatter of values for differences increases progressively as the average values increase (heteroscedasticity), log-transform the raw values from the two methods and replot differences against averages. If this eliminates proportional bias and heteroscedasticity, construct 'classical' 95% confidence limits. Otherwise, construct horizontal V-shaped 95% confidence limits around the line of best fit of differences on averages or around the weighted least products line of best fit to the original data. 7. In designing a method-comparison study, consult a qualified biostatistician, obey the rules of randomization and make replicate observations.","DOI":"10.1111/j.1440-1681.2009.05288.x","ISSN":"1440-1681","note":"PMID: 19719745","title-short":"Confidence in Altman-Bland plots","journalAbbreviation":"Clin. Exp. Pharmacol. Physiol.","language":"eng","author":[{"family":"Ludbrook","given":"John"}],"issued":{"date-parts":[["2010",2]]}},"label":"page"}],"schema":"https://github.com/citation-style-language/schema/raw/master/csl-citation.json"} </w:instrText>
      </w:r>
      <w:r w:rsidRPr="00FB1858">
        <w:rPr>
          <w:color w:val="000000" w:themeColor="text1"/>
          <w:sz w:val="20"/>
          <w:szCs w:val="20"/>
        </w:rPr>
        <w:fldChar w:fldCharType="separate"/>
      </w:r>
      <w:r w:rsidR="00C1051D" w:rsidRPr="00FB1858">
        <w:rPr>
          <w:color w:val="000000"/>
          <w:sz w:val="20"/>
          <w:szCs w:val="20"/>
          <w:vertAlign w:val="superscript"/>
          <w:lang w:val="es-ES_tradnl"/>
        </w:rPr>
        <w:t>13,14</w:t>
      </w:r>
      <w:r w:rsidRPr="00FB1858">
        <w:rPr>
          <w:color w:val="000000" w:themeColor="text1"/>
          <w:sz w:val="20"/>
          <w:szCs w:val="20"/>
        </w:rPr>
        <w:fldChar w:fldCharType="end"/>
      </w:r>
      <w:r w:rsidRPr="00FB1858">
        <w:rPr>
          <w:color w:val="000000" w:themeColor="text1"/>
          <w:sz w:val="20"/>
          <w:szCs w:val="20"/>
        </w:rPr>
        <w:t xml:space="preserve"> </w:t>
      </w:r>
    </w:p>
    <w:p w14:paraId="59C0087D" w14:textId="77777777" w:rsidR="003F59C6" w:rsidRPr="00FB1858" w:rsidRDefault="003F59C6" w:rsidP="00FB1858">
      <w:pPr>
        <w:pStyle w:val="NormalWeb"/>
        <w:shd w:val="clear" w:color="auto" w:fill="FFFFFF"/>
        <w:spacing w:before="0" w:beforeAutospacing="0" w:after="0" w:afterAutospacing="0" w:line="480" w:lineRule="auto"/>
        <w:jc w:val="left"/>
        <w:outlineLvl w:val="0"/>
        <w:rPr>
          <w:b/>
          <w:color w:val="000000" w:themeColor="text1"/>
          <w:sz w:val="20"/>
          <w:szCs w:val="20"/>
        </w:rPr>
      </w:pPr>
    </w:p>
    <w:p w14:paraId="46950AB5" w14:textId="77777777" w:rsidR="00C1051D" w:rsidRPr="00FB1858" w:rsidRDefault="00C1051D" w:rsidP="00FB1858">
      <w:pPr>
        <w:spacing w:line="480" w:lineRule="auto"/>
        <w:rPr>
          <w:b/>
          <w:color w:val="000000" w:themeColor="text1"/>
          <w:sz w:val="20"/>
          <w:szCs w:val="20"/>
        </w:rPr>
      </w:pPr>
      <w:r w:rsidRPr="00FB1858">
        <w:rPr>
          <w:b/>
          <w:color w:val="000000" w:themeColor="text1"/>
          <w:sz w:val="20"/>
          <w:szCs w:val="20"/>
        </w:rPr>
        <w:br w:type="page"/>
      </w:r>
    </w:p>
    <w:p w14:paraId="0393C9CE" w14:textId="4E55A483" w:rsidR="002F06E6" w:rsidRPr="00FB1858" w:rsidRDefault="006B107E" w:rsidP="00A34C21">
      <w:pPr>
        <w:spacing w:line="480" w:lineRule="auto"/>
        <w:rPr>
          <w:b/>
          <w:color w:val="000000" w:themeColor="text1"/>
          <w:sz w:val="20"/>
          <w:szCs w:val="20"/>
        </w:rPr>
      </w:pPr>
      <w:r w:rsidRPr="00FB1858">
        <w:rPr>
          <w:b/>
          <w:color w:val="000000" w:themeColor="text1"/>
          <w:sz w:val="20"/>
          <w:szCs w:val="20"/>
        </w:rPr>
        <w:lastRenderedPageBreak/>
        <w:t>REFERENCES</w:t>
      </w:r>
    </w:p>
    <w:p w14:paraId="755BCA4F" w14:textId="2D07D896" w:rsidR="00C1051D" w:rsidRPr="00FB1858" w:rsidRDefault="002F06E6" w:rsidP="00FB1858">
      <w:pPr>
        <w:pStyle w:val="Bibliografa5"/>
        <w:spacing w:line="480" w:lineRule="auto"/>
        <w:rPr>
          <w:color w:val="000000"/>
        </w:rPr>
      </w:pPr>
      <w:r w:rsidRPr="00FB1858">
        <w:rPr>
          <w:rFonts w:eastAsia="PMingLiU"/>
          <w:lang w:eastAsia="zh-TW"/>
        </w:rPr>
        <w:fldChar w:fldCharType="begin"/>
      </w:r>
      <w:r w:rsidR="00C1051D" w:rsidRPr="00FB1858">
        <w:rPr>
          <w:rFonts w:eastAsia="PMingLiU"/>
          <w:lang w:eastAsia="zh-TW"/>
        </w:rPr>
        <w:instrText xml:space="preserve"> ADDIN ZOTERO_BIBL {"uncited":[],"omitted":[],"custom":[]} CSL_BIBLIOGRAPHY </w:instrText>
      </w:r>
      <w:r w:rsidRPr="00FB1858">
        <w:rPr>
          <w:rFonts w:eastAsia="PMingLiU"/>
          <w:lang w:eastAsia="zh-TW"/>
        </w:rPr>
        <w:fldChar w:fldCharType="separate"/>
      </w:r>
      <w:r w:rsidR="00C1051D" w:rsidRPr="00FB1858">
        <w:rPr>
          <w:color w:val="000000"/>
        </w:rPr>
        <w:t xml:space="preserve">1. </w:t>
      </w:r>
      <w:r w:rsidR="00C1051D" w:rsidRPr="00FB1858">
        <w:rPr>
          <w:color w:val="000000"/>
        </w:rPr>
        <w:tab/>
        <w:t xml:space="preserve">A’Hern RP. Sample size tables for exact single-stage phase II designs. </w:t>
      </w:r>
      <w:r w:rsidR="00C1051D" w:rsidRPr="00FB1858">
        <w:rPr>
          <w:i/>
          <w:iCs/>
          <w:color w:val="000000"/>
        </w:rPr>
        <w:t>Stat Med</w:t>
      </w:r>
      <w:r w:rsidR="00C1051D" w:rsidRPr="00FB1858">
        <w:rPr>
          <w:color w:val="000000"/>
        </w:rPr>
        <w:t xml:space="preserve"> 2001; 20: 859–866.</w:t>
      </w:r>
    </w:p>
    <w:p w14:paraId="5D6D1C47" w14:textId="77777777" w:rsidR="00C1051D" w:rsidRPr="00FB1858" w:rsidRDefault="00C1051D" w:rsidP="00FB1858">
      <w:pPr>
        <w:pStyle w:val="Bibliografa5"/>
        <w:spacing w:line="480" w:lineRule="auto"/>
        <w:rPr>
          <w:color w:val="000000"/>
        </w:rPr>
      </w:pPr>
      <w:r w:rsidRPr="00FB1858">
        <w:rPr>
          <w:color w:val="000000"/>
        </w:rPr>
        <w:t xml:space="preserve">2. </w:t>
      </w:r>
      <w:r w:rsidRPr="00FB1858">
        <w:rPr>
          <w:color w:val="000000"/>
        </w:rPr>
        <w:tab/>
        <w:t>Sin-Ho Jung. Randomized Phase II Cancer Clinical Trials. 2013.</w:t>
      </w:r>
    </w:p>
    <w:p w14:paraId="3DE2B911" w14:textId="77777777" w:rsidR="00C1051D" w:rsidRPr="00FB1858" w:rsidRDefault="00C1051D" w:rsidP="00FB1858">
      <w:pPr>
        <w:pStyle w:val="Bibliografa5"/>
        <w:spacing w:line="480" w:lineRule="auto"/>
        <w:rPr>
          <w:color w:val="000000"/>
        </w:rPr>
      </w:pPr>
      <w:r w:rsidRPr="00FB1858">
        <w:rPr>
          <w:color w:val="000000"/>
        </w:rPr>
        <w:t xml:space="preserve">3. </w:t>
      </w:r>
      <w:r w:rsidRPr="00FB1858">
        <w:rPr>
          <w:color w:val="000000"/>
        </w:rPr>
        <w:tab/>
        <w:t xml:space="preserve">U.S. Department of Health and Human Services Food and Drug Administration, Center for Drug Evaluation and Research (CDER), Center for Biologics Evaluation and Research (CBER). Non-Inferiority Clinical Trials to Establish Effectiveness. Guidance for Industry. </w:t>
      </w:r>
      <w:r w:rsidRPr="00FB1858">
        <w:rPr>
          <w:i/>
          <w:iCs/>
          <w:color w:val="000000"/>
        </w:rPr>
        <w:t>https://www.fda.gov/downloads/Drugs/Guidances/UCM202140.pdf</w:t>
      </w:r>
      <w:r w:rsidRPr="00FB1858">
        <w:rPr>
          <w:color w:val="000000"/>
        </w:rPr>
        <w:t>.</w:t>
      </w:r>
    </w:p>
    <w:p w14:paraId="3DE2A2E2" w14:textId="77777777" w:rsidR="00C1051D" w:rsidRPr="00FB1858" w:rsidRDefault="00C1051D" w:rsidP="00FB1858">
      <w:pPr>
        <w:pStyle w:val="Bibliografa5"/>
        <w:spacing w:line="480" w:lineRule="auto"/>
        <w:rPr>
          <w:color w:val="000000"/>
        </w:rPr>
      </w:pPr>
      <w:r w:rsidRPr="00FB1858">
        <w:rPr>
          <w:color w:val="000000"/>
        </w:rPr>
        <w:t xml:space="preserve">4. </w:t>
      </w:r>
      <w:r w:rsidRPr="00FB1858">
        <w:rPr>
          <w:color w:val="000000"/>
        </w:rPr>
        <w:tab/>
        <w:t xml:space="preserve">Committee For Proprietary medicinal products (CPMP), The European Agency for the Evaluation of Medicinal Products. Points to consider on switching between superiority and non-inferiority. </w:t>
      </w:r>
      <w:r w:rsidRPr="00FB1858">
        <w:rPr>
          <w:i/>
          <w:iCs/>
          <w:color w:val="000000"/>
        </w:rPr>
        <w:t>http://www.ema.europa.eu/docs/en_GB/document_library/Scientific_guideline/2009/09/WC500003658.pdf</w:t>
      </w:r>
      <w:r w:rsidRPr="00FB1858">
        <w:rPr>
          <w:color w:val="000000"/>
        </w:rPr>
        <w:t>.</w:t>
      </w:r>
    </w:p>
    <w:p w14:paraId="3A8F8C8C" w14:textId="77777777" w:rsidR="00C1051D" w:rsidRPr="00FB1858" w:rsidRDefault="00C1051D" w:rsidP="00FB1858">
      <w:pPr>
        <w:pStyle w:val="Bibliografa5"/>
        <w:spacing w:line="480" w:lineRule="auto"/>
        <w:rPr>
          <w:color w:val="000000"/>
        </w:rPr>
      </w:pPr>
      <w:r w:rsidRPr="00FB1858">
        <w:rPr>
          <w:color w:val="000000"/>
        </w:rPr>
        <w:t xml:space="preserve">5. </w:t>
      </w:r>
      <w:r w:rsidRPr="00FB1858">
        <w:rPr>
          <w:color w:val="000000"/>
        </w:rPr>
        <w:tab/>
        <w:t xml:space="preserve">Simon R. Optimal two-stage designs for phase II clinical trials. </w:t>
      </w:r>
      <w:r w:rsidRPr="00FB1858">
        <w:rPr>
          <w:i/>
          <w:iCs/>
          <w:color w:val="000000"/>
        </w:rPr>
        <w:t>Control Clin Trials</w:t>
      </w:r>
      <w:r w:rsidRPr="00FB1858">
        <w:rPr>
          <w:color w:val="000000"/>
        </w:rPr>
        <w:t xml:space="preserve"> 1989; 10: 1–10.</w:t>
      </w:r>
    </w:p>
    <w:p w14:paraId="300FA589" w14:textId="77777777" w:rsidR="00C1051D" w:rsidRPr="00FB1858" w:rsidRDefault="00C1051D" w:rsidP="00FB1858">
      <w:pPr>
        <w:pStyle w:val="Bibliografa5"/>
        <w:spacing w:line="480" w:lineRule="auto"/>
        <w:rPr>
          <w:color w:val="000000"/>
        </w:rPr>
      </w:pPr>
      <w:r w:rsidRPr="00FB1858">
        <w:rPr>
          <w:color w:val="000000"/>
        </w:rPr>
        <w:t xml:space="preserve">6. </w:t>
      </w:r>
      <w:r w:rsidRPr="00FB1858">
        <w:rPr>
          <w:color w:val="000000"/>
        </w:rPr>
        <w:tab/>
        <w:t xml:space="preserve">Jung S-H, Kim KM. On the estimation of the binomial probability in multistage clinical trials. </w:t>
      </w:r>
      <w:r w:rsidRPr="00FB1858">
        <w:rPr>
          <w:i/>
          <w:iCs/>
          <w:color w:val="000000"/>
        </w:rPr>
        <w:t>Stat Med</w:t>
      </w:r>
      <w:r w:rsidRPr="00FB1858">
        <w:rPr>
          <w:color w:val="000000"/>
        </w:rPr>
        <w:t xml:space="preserve"> 2004; 23: 881–896.</w:t>
      </w:r>
    </w:p>
    <w:p w14:paraId="634E47F8" w14:textId="77777777" w:rsidR="00C1051D" w:rsidRPr="00FB1858" w:rsidRDefault="00C1051D" w:rsidP="00FB1858">
      <w:pPr>
        <w:pStyle w:val="Bibliografa5"/>
        <w:spacing w:line="480" w:lineRule="auto"/>
        <w:rPr>
          <w:color w:val="000000"/>
        </w:rPr>
      </w:pPr>
      <w:r w:rsidRPr="00FB1858">
        <w:rPr>
          <w:color w:val="000000"/>
        </w:rPr>
        <w:t xml:space="preserve">7. </w:t>
      </w:r>
      <w:r w:rsidRPr="00FB1858">
        <w:rPr>
          <w:color w:val="000000"/>
        </w:rPr>
        <w:tab/>
        <w:t xml:space="preserve">Jung S-H. Statistical issues for design and analysis of single-arm multi-stage phase II cancer clinical trials. </w:t>
      </w:r>
      <w:r w:rsidRPr="00FB1858">
        <w:rPr>
          <w:i/>
          <w:iCs/>
          <w:color w:val="000000"/>
        </w:rPr>
        <w:t>Contemp Clin Trials</w:t>
      </w:r>
      <w:r w:rsidRPr="00FB1858">
        <w:rPr>
          <w:color w:val="000000"/>
        </w:rPr>
        <w:t xml:space="preserve"> 2015; 42: 9–17.</w:t>
      </w:r>
    </w:p>
    <w:p w14:paraId="4D2BCEB5" w14:textId="77777777" w:rsidR="00C1051D" w:rsidRPr="00FB1858" w:rsidRDefault="00C1051D" w:rsidP="00FB1858">
      <w:pPr>
        <w:pStyle w:val="Bibliografa5"/>
        <w:spacing w:line="480" w:lineRule="auto"/>
        <w:rPr>
          <w:color w:val="000000"/>
        </w:rPr>
      </w:pPr>
      <w:r w:rsidRPr="00FB1858">
        <w:rPr>
          <w:color w:val="000000"/>
        </w:rPr>
        <w:t xml:space="preserve">8. </w:t>
      </w:r>
      <w:r w:rsidRPr="00FB1858">
        <w:rPr>
          <w:color w:val="000000"/>
        </w:rPr>
        <w:tab/>
        <w:t xml:space="preserve">Jung S-H, Owzar K, George SL, et al. P-value calculation for multistage phase II cancer clinical trials. </w:t>
      </w:r>
      <w:r w:rsidRPr="00FB1858">
        <w:rPr>
          <w:i/>
          <w:iCs/>
          <w:color w:val="000000"/>
        </w:rPr>
        <w:t>J Biopharm Stat</w:t>
      </w:r>
      <w:r w:rsidRPr="00FB1858">
        <w:rPr>
          <w:color w:val="000000"/>
        </w:rPr>
        <w:t xml:space="preserve"> 2006; 16: 765–775; discussion 777-783.</w:t>
      </w:r>
    </w:p>
    <w:p w14:paraId="24A5D8E3" w14:textId="77777777" w:rsidR="00C1051D" w:rsidRPr="00FB1858" w:rsidRDefault="00C1051D" w:rsidP="00FB1858">
      <w:pPr>
        <w:pStyle w:val="Bibliografa5"/>
        <w:spacing w:line="480" w:lineRule="auto"/>
        <w:rPr>
          <w:color w:val="000000"/>
        </w:rPr>
      </w:pPr>
      <w:r w:rsidRPr="00FB1858">
        <w:rPr>
          <w:color w:val="000000"/>
        </w:rPr>
        <w:t xml:space="preserve">9. </w:t>
      </w:r>
      <w:r w:rsidRPr="00FB1858">
        <w:rPr>
          <w:color w:val="000000"/>
        </w:rPr>
        <w:tab/>
        <w:t xml:space="preserve">Team RC. R: A language and environment for statistical computing. Vienna, Austria: R Foundation for Statistical Computing. </w:t>
      </w:r>
      <w:r w:rsidRPr="00FB1858">
        <w:rPr>
          <w:i/>
          <w:iCs/>
          <w:color w:val="000000"/>
        </w:rPr>
        <w:t>https://www.R-project.org/</w:t>
      </w:r>
      <w:r w:rsidRPr="00FB1858">
        <w:rPr>
          <w:color w:val="000000"/>
        </w:rPr>
        <w:t>.</w:t>
      </w:r>
    </w:p>
    <w:p w14:paraId="097E3BDC" w14:textId="77777777" w:rsidR="00C1051D" w:rsidRPr="00FB1858" w:rsidRDefault="00C1051D" w:rsidP="00FB1858">
      <w:pPr>
        <w:pStyle w:val="Bibliografa5"/>
        <w:spacing w:line="480" w:lineRule="auto"/>
        <w:rPr>
          <w:color w:val="000000"/>
        </w:rPr>
      </w:pPr>
      <w:r w:rsidRPr="00FB1858">
        <w:rPr>
          <w:color w:val="000000"/>
        </w:rPr>
        <w:t xml:space="preserve">10. </w:t>
      </w:r>
      <w:r w:rsidRPr="00FB1858">
        <w:rPr>
          <w:color w:val="000000"/>
        </w:rPr>
        <w:tab/>
        <w:t xml:space="preserve">Venkatraman E. Seshan. Package ‘clinfun’ - Clinical Trial Design and Data Analysis Functions. Version 1.0.14. </w:t>
      </w:r>
      <w:r w:rsidRPr="00FB1858">
        <w:rPr>
          <w:i/>
          <w:iCs/>
          <w:color w:val="000000"/>
        </w:rPr>
        <w:t>https://cran.r-project.org/web/packages/clinfun/clinfun.pdf</w:t>
      </w:r>
      <w:r w:rsidRPr="00FB1858">
        <w:rPr>
          <w:color w:val="000000"/>
        </w:rPr>
        <w:t>.</w:t>
      </w:r>
    </w:p>
    <w:p w14:paraId="4ACB0DA9" w14:textId="77777777" w:rsidR="00C1051D" w:rsidRPr="00FB1858" w:rsidRDefault="00C1051D" w:rsidP="00FB1858">
      <w:pPr>
        <w:pStyle w:val="Bibliografa5"/>
        <w:spacing w:line="480" w:lineRule="auto"/>
        <w:rPr>
          <w:color w:val="000000"/>
        </w:rPr>
      </w:pPr>
      <w:r w:rsidRPr="00FB1858">
        <w:rPr>
          <w:color w:val="000000"/>
        </w:rPr>
        <w:t xml:space="preserve">11. </w:t>
      </w:r>
      <w:r w:rsidRPr="00FB1858">
        <w:rPr>
          <w:color w:val="000000"/>
        </w:rPr>
        <w:tab/>
        <w:t xml:space="preserve">Tanaka S, Kinjo Y, Kataoka Y, et al. Statistical issues and recommendations for noninferiority trials in oncology: a systematic review. </w:t>
      </w:r>
      <w:r w:rsidRPr="00FB1858">
        <w:rPr>
          <w:i/>
          <w:iCs/>
          <w:color w:val="000000"/>
        </w:rPr>
        <w:t>Clin Cancer Res</w:t>
      </w:r>
      <w:r w:rsidRPr="00FB1858">
        <w:rPr>
          <w:color w:val="000000"/>
        </w:rPr>
        <w:t xml:space="preserve"> 2012; 18: 1837–1847.</w:t>
      </w:r>
    </w:p>
    <w:p w14:paraId="6AD7E2B6" w14:textId="77777777" w:rsidR="00C1051D" w:rsidRPr="00FB1858" w:rsidRDefault="00C1051D" w:rsidP="00FB1858">
      <w:pPr>
        <w:pStyle w:val="Bibliografa5"/>
        <w:spacing w:line="480" w:lineRule="auto"/>
        <w:rPr>
          <w:color w:val="000000"/>
        </w:rPr>
      </w:pPr>
      <w:r w:rsidRPr="00FB1858">
        <w:rPr>
          <w:color w:val="000000"/>
        </w:rPr>
        <w:lastRenderedPageBreak/>
        <w:t xml:space="preserve">12. </w:t>
      </w:r>
      <w:r w:rsidRPr="00FB1858">
        <w:rPr>
          <w:color w:val="000000"/>
        </w:rPr>
        <w:tab/>
        <w:t xml:space="preserve">William Oberle, Weapons and Materials Research Directorate, ARL. Monte Carlo Simulations: Number of Iterations and Accuracy. </w:t>
      </w:r>
      <w:r w:rsidRPr="00FB1858">
        <w:rPr>
          <w:i/>
          <w:iCs/>
          <w:color w:val="000000"/>
        </w:rPr>
        <w:t>www.dtic.mil/get-tr-doc/pdf?AD=ADA621501</w:t>
      </w:r>
      <w:r w:rsidRPr="00FB1858">
        <w:rPr>
          <w:color w:val="000000"/>
        </w:rPr>
        <w:t>.</w:t>
      </w:r>
    </w:p>
    <w:p w14:paraId="7721438B" w14:textId="77777777" w:rsidR="00C1051D" w:rsidRPr="00FB1858" w:rsidRDefault="00C1051D" w:rsidP="00FB1858">
      <w:pPr>
        <w:pStyle w:val="Bibliografa5"/>
        <w:spacing w:line="480" w:lineRule="auto"/>
        <w:rPr>
          <w:color w:val="000000"/>
        </w:rPr>
      </w:pPr>
      <w:r w:rsidRPr="00FB1858">
        <w:rPr>
          <w:color w:val="000000"/>
        </w:rPr>
        <w:t xml:space="preserve">13. </w:t>
      </w:r>
      <w:r w:rsidRPr="00FB1858">
        <w:rPr>
          <w:color w:val="000000"/>
        </w:rPr>
        <w:tab/>
        <w:t xml:space="preserve">Pottel H. Critical review of method comparison studies for the evaluation of estimating glomerular filtration rate equations. </w:t>
      </w:r>
      <w:r w:rsidRPr="00FB1858">
        <w:rPr>
          <w:i/>
          <w:iCs/>
          <w:color w:val="000000"/>
        </w:rPr>
        <w:t>Int J Nephrol Kidney Failure</w:t>
      </w:r>
      <w:r w:rsidRPr="00FB1858">
        <w:rPr>
          <w:color w:val="000000"/>
        </w:rPr>
        <w:t>; Volume 1. Epub ahead of print July 2015. DOI: http://dx.doi.org/10.16966/ ijnkf.102.</w:t>
      </w:r>
    </w:p>
    <w:p w14:paraId="52292D32" w14:textId="77777777" w:rsidR="00C1051D" w:rsidRPr="00FB1858" w:rsidRDefault="00C1051D" w:rsidP="00FB1858">
      <w:pPr>
        <w:pStyle w:val="Bibliografa5"/>
        <w:spacing w:line="480" w:lineRule="auto"/>
        <w:rPr>
          <w:color w:val="000000"/>
          <w:lang w:val="es-ES_tradnl"/>
        </w:rPr>
      </w:pPr>
      <w:r w:rsidRPr="00FB1858">
        <w:rPr>
          <w:color w:val="000000"/>
        </w:rPr>
        <w:t xml:space="preserve">14. </w:t>
      </w:r>
      <w:r w:rsidRPr="00FB1858">
        <w:rPr>
          <w:color w:val="000000"/>
        </w:rPr>
        <w:tab/>
        <w:t xml:space="preserve">Ludbrook J. Confidence in Altman-Bland plots: a critical review of the method of differences. </w:t>
      </w:r>
      <w:r w:rsidRPr="00FB1858">
        <w:rPr>
          <w:i/>
          <w:iCs/>
          <w:color w:val="000000"/>
          <w:lang w:val="es-ES_tradnl"/>
        </w:rPr>
        <w:t>Clin Exp Pharmacol Physiol</w:t>
      </w:r>
      <w:r w:rsidRPr="00FB1858">
        <w:rPr>
          <w:color w:val="000000"/>
          <w:lang w:val="es-ES_tradnl"/>
        </w:rPr>
        <w:t xml:space="preserve"> 2010; 37: 143–149.</w:t>
      </w:r>
    </w:p>
    <w:p w14:paraId="401FF4D9" w14:textId="1CC7D513" w:rsidR="002F06E6" w:rsidRPr="00FB1858" w:rsidRDefault="002F06E6" w:rsidP="00FB1858">
      <w:pPr>
        <w:pStyle w:val="Bibliografa5"/>
        <w:spacing w:line="480" w:lineRule="auto"/>
      </w:pPr>
      <w:r w:rsidRPr="00FB1858">
        <w:rPr>
          <w:rFonts w:eastAsia="PMingLiU"/>
          <w:lang w:eastAsia="zh-TW"/>
        </w:rPr>
        <w:fldChar w:fldCharType="end"/>
      </w:r>
    </w:p>
    <w:p w14:paraId="09F0778C" w14:textId="34468E3A" w:rsidR="00EA6DC8" w:rsidRPr="00FB1858" w:rsidRDefault="00EA6DC8" w:rsidP="00FB1858">
      <w:pPr>
        <w:spacing w:line="480" w:lineRule="auto"/>
        <w:rPr>
          <w:color w:val="000000" w:themeColor="text1"/>
          <w:sz w:val="20"/>
          <w:szCs w:val="20"/>
        </w:rPr>
      </w:pPr>
    </w:p>
    <w:sectPr w:rsidR="00EA6DC8" w:rsidRPr="00FB1858" w:rsidSect="003131EF">
      <w:footerReference w:type="even" r:id="rId8"/>
      <w:footerReference w:type="default" r:id="rId9"/>
      <w:pgSz w:w="11907" w:h="16839"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2F6E8C" w14:textId="77777777" w:rsidR="00EC62A9" w:rsidRDefault="00EC62A9" w:rsidP="005C4FC2">
      <w:r>
        <w:separator/>
      </w:r>
    </w:p>
  </w:endnote>
  <w:endnote w:type="continuationSeparator" w:id="0">
    <w:p w14:paraId="087BF73E" w14:textId="77777777" w:rsidR="00EC62A9" w:rsidRDefault="00EC62A9" w:rsidP="005C4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FreeSans">
    <w:altName w:val="Times New Roman"/>
    <w:panose1 w:val="00000000000000000000"/>
    <w:charset w:val="00"/>
    <w:family w:val="auto"/>
    <w:notTrueType/>
    <w:pitch w:val="variable"/>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Yu Mincho">
    <w:panose1 w:val="02020400000000000000"/>
    <w:charset w:val="80"/>
    <w:family w:val="roman"/>
    <w:pitch w:val="variable"/>
    <w:sig w:usb0="800002E7" w:usb1="2AC7FCF0" w:usb2="00000012" w:usb3="00000000" w:csb0="0002009F" w:csb1="00000000"/>
  </w:font>
  <w:font w:name="Lucida Grande">
    <w:charset w:val="00"/>
    <w:family w:val="swiss"/>
    <w:pitch w:val="variable"/>
    <w:sig w:usb0="E1000AEF" w:usb1="5000A1FF" w:usb2="00000000" w:usb3="00000000" w:csb0="000001BF" w:csb1="00000000"/>
  </w:font>
  <w:font w:name="Times">
    <w:altName w:val="Times"/>
    <w:panose1 w:val="02020603050405020304"/>
    <w:charset w:val="00"/>
    <w:family w:val="auto"/>
    <w:pitch w:val="variable"/>
    <w:sig w:usb0="E0002EFF" w:usb1="D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530408580"/>
      <w:docPartObj>
        <w:docPartGallery w:val="Page Numbers (Bottom of Page)"/>
        <w:docPartUnique/>
      </w:docPartObj>
    </w:sdtPr>
    <w:sdtEndPr>
      <w:rPr>
        <w:rStyle w:val="Nmerodepgina"/>
      </w:rPr>
    </w:sdtEndPr>
    <w:sdtContent>
      <w:p w14:paraId="62A1B37A" w14:textId="74934FAA" w:rsidR="00AD1141" w:rsidRDefault="00AD1141" w:rsidP="00D76BEF">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71A9DA3" w14:textId="77777777" w:rsidR="00AD1141" w:rsidRDefault="00AD114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Fonts w:ascii="Arial" w:hAnsi="Arial" w:cs="Arial"/>
      </w:rPr>
      <w:id w:val="782779989"/>
      <w:docPartObj>
        <w:docPartGallery w:val="Page Numbers (Bottom of Page)"/>
        <w:docPartUnique/>
      </w:docPartObj>
    </w:sdtPr>
    <w:sdtEndPr>
      <w:rPr>
        <w:rStyle w:val="Nmerodepgina"/>
      </w:rPr>
    </w:sdtEndPr>
    <w:sdtContent>
      <w:p w14:paraId="74A181C4" w14:textId="59CFB44F" w:rsidR="00AD1141" w:rsidRPr="00AD1141" w:rsidRDefault="00AD1141" w:rsidP="00AD1141">
        <w:pPr>
          <w:pStyle w:val="Piedepgina"/>
          <w:framePr w:wrap="none" w:vAnchor="text" w:hAnchor="margin" w:xAlign="center" w:y="1"/>
          <w:jc w:val="center"/>
          <w:rPr>
            <w:rStyle w:val="Nmerodepgina"/>
            <w:rFonts w:ascii="Arial" w:hAnsi="Arial" w:cs="Arial"/>
          </w:rPr>
        </w:pPr>
        <w:r w:rsidRPr="00AD1141">
          <w:rPr>
            <w:rStyle w:val="Nmerodepgina"/>
            <w:rFonts w:ascii="Arial" w:hAnsi="Arial" w:cs="Arial"/>
          </w:rPr>
          <w:fldChar w:fldCharType="begin"/>
        </w:r>
        <w:r w:rsidRPr="00AD1141">
          <w:rPr>
            <w:rStyle w:val="Nmerodepgina"/>
            <w:rFonts w:ascii="Arial" w:hAnsi="Arial" w:cs="Arial"/>
          </w:rPr>
          <w:instrText xml:space="preserve"> PAGE </w:instrText>
        </w:r>
        <w:r w:rsidRPr="00AD1141">
          <w:rPr>
            <w:rStyle w:val="Nmerodepgina"/>
            <w:rFonts w:ascii="Arial" w:hAnsi="Arial" w:cs="Arial"/>
          </w:rPr>
          <w:fldChar w:fldCharType="separate"/>
        </w:r>
        <w:r w:rsidR="006F2470">
          <w:rPr>
            <w:rStyle w:val="Nmerodepgina"/>
            <w:rFonts w:ascii="Arial" w:hAnsi="Arial" w:cs="Arial"/>
            <w:noProof/>
          </w:rPr>
          <w:t>10</w:t>
        </w:r>
        <w:r w:rsidRPr="00AD1141">
          <w:rPr>
            <w:rStyle w:val="Nmerodepgina"/>
            <w:rFonts w:ascii="Arial" w:hAnsi="Arial" w:cs="Arial"/>
          </w:rPr>
          <w:fldChar w:fldCharType="end"/>
        </w:r>
      </w:p>
    </w:sdtContent>
  </w:sdt>
  <w:p w14:paraId="58265BB7" w14:textId="2918B031" w:rsidR="00EF46E1" w:rsidRPr="00AD1141" w:rsidRDefault="00EF46E1" w:rsidP="00AD1141">
    <w:pPr>
      <w:pStyle w:val="Piedepgina"/>
      <w:ind w:right="360"/>
      <w:jc w:val="center"/>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A75512" w14:textId="77777777" w:rsidR="00EC62A9" w:rsidRDefault="00EC62A9" w:rsidP="005C4FC2">
      <w:r>
        <w:separator/>
      </w:r>
    </w:p>
  </w:footnote>
  <w:footnote w:type="continuationSeparator" w:id="0">
    <w:p w14:paraId="6475AD63" w14:textId="77777777" w:rsidR="00EC62A9" w:rsidRDefault="00EC62A9" w:rsidP="005C4F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A"/>
    <w:multiLevelType w:val="multilevel"/>
    <w:tmpl w:val="0000000A"/>
    <w:name w:val="WWNum34"/>
    <w:lvl w:ilvl="0">
      <w:start w:val="1"/>
      <w:numFmt w:val="bullet"/>
      <w:lvlText w:val=""/>
      <w:lvlJc w:val="left"/>
      <w:pPr>
        <w:tabs>
          <w:tab w:val="num" w:pos="720"/>
        </w:tabs>
        <w:ind w:left="720" w:hanging="360"/>
      </w:pPr>
      <w:rPr>
        <w:rFonts w:ascii="Symbol" w:hAnsi="Symbol"/>
      </w:rPr>
    </w:lvl>
    <w:lvl w:ilvl="1">
      <w:start w:val="1"/>
      <w:numFmt w:val="lowerLetter"/>
      <w:lvlText w:val="%2."/>
      <w:lvlJc w:val="left"/>
      <w:pPr>
        <w:tabs>
          <w:tab w:val="num" w:pos="1440"/>
        </w:tabs>
        <w:ind w:left="1440" w:hanging="360"/>
      </w:pPr>
      <w:rPr>
        <w:rFonts w:cs="Times New Roman"/>
      </w:rPr>
    </w:lvl>
    <w:lvl w:ilvl="2">
      <w:start w:val="1"/>
      <w:numFmt w:val="lowerRoman"/>
      <w:lvlText w:val="%2.%3."/>
      <w:lvlJc w:val="left"/>
      <w:pPr>
        <w:tabs>
          <w:tab w:val="num" w:pos="2160"/>
        </w:tabs>
        <w:ind w:left="2160" w:hanging="180"/>
      </w:pPr>
      <w:rPr>
        <w:rFonts w:cs="Times New Roman"/>
      </w:rPr>
    </w:lvl>
    <w:lvl w:ilvl="3">
      <w:start w:val="1"/>
      <w:numFmt w:val="decimal"/>
      <w:lvlText w:val="%2.%3.%4."/>
      <w:lvlJc w:val="left"/>
      <w:pPr>
        <w:tabs>
          <w:tab w:val="num" w:pos="2880"/>
        </w:tabs>
        <w:ind w:left="2880" w:hanging="360"/>
      </w:pPr>
      <w:rPr>
        <w:rFonts w:cs="Times New Roman"/>
      </w:rPr>
    </w:lvl>
    <w:lvl w:ilvl="4">
      <w:start w:val="1"/>
      <w:numFmt w:val="lowerLetter"/>
      <w:lvlText w:val="%2.%3.%4.%5."/>
      <w:lvlJc w:val="left"/>
      <w:pPr>
        <w:tabs>
          <w:tab w:val="num" w:pos="3600"/>
        </w:tabs>
        <w:ind w:left="3600" w:hanging="360"/>
      </w:pPr>
      <w:rPr>
        <w:rFonts w:cs="Times New Roman"/>
      </w:rPr>
    </w:lvl>
    <w:lvl w:ilvl="5">
      <w:start w:val="1"/>
      <w:numFmt w:val="lowerRoman"/>
      <w:lvlText w:val="%2.%3.%4.%5.%6."/>
      <w:lvlJc w:val="left"/>
      <w:pPr>
        <w:tabs>
          <w:tab w:val="num" w:pos="4320"/>
        </w:tabs>
        <w:ind w:left="4320" w:hanging="18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lowerLetter"/>
      <w:lvlText w:val="%2.%3.%4.%5.%6.%7.%8."/>
      <w:lvlJc w:val="left"/>
      <w:pPr>
        <w:tabs>
          <w:tab w:val="num" w:pos="5760"/>
        </w:tabs>
        <w:ind w:left="5760" w:hanging="360"/>
      </w:pPr>
      <w:rPr>
        <w:rFonts w:cs="Times New Roman"/>
      </w:rPr>
    </w:lvl>
    <w:lvl w:ilvl="8">
      <w:start w:val="1"/>
      <w:numFmt w:val="lowerRoman"/>
      <w:lvlText w:val="%2.%3.%4.%5.%6.%7.%8.%9."/>
      <w:lvlJc w:val="left"/>
      <w:pPr>
        <w:tabs>
          <w:tab w:val="num" w:pos="6480"/>
        </w:tabs>
        <w:ind w:left="6480" w:hanging="180"/>
      </w:pPr>
      <w:rPr>
        <w:rFonts w:cs="Times New Roman"/>
      </w:rPr>
    </w:lvl>
  </w:abstractNum>
  <w:abstractNum w:abstractNumId="1" w15:restartNumberingAfterBreak="0">
    <w:nsid w:val="00E6200C"/>
    <w:multiLevelType w:val="hybridMultilevel"/>
    <w:tmpl w:val="2CE815EC"/>
    <w:name w:val="WWNum11"/>
    <w:lvl w:ilvl="0" w:tplc="4C54B044">
      <w:start w:val="1"/>
      <w:numFmt w:val="bullet"/>
      <w:lvlText w:val="-"/>
      <w:lvlJc w:val="left"/>
      <w:pPr>
        <w:tabs>
          <w:tab w:val="num" w:pos="720"/>
        </w:tabs>
        <w:ind w:left="720" w:hanging="360"/>
      </w:pPr>
      <w:rPr>
        <w:rFonts w:ascii="Calibri" w:hAnsi="Calibri" w:hint="default"/>
        <w:color w:val="auto"/>
      </w:rPr>
    </w:lvl>
    <w:lvl w:ilvl="1" w:tplc="C4BE3C3E" w:tentative="1">
      <w:start w:val="1"/>
      <w:numFmt w:val="bullet"/>
      <w:lvlText w:val="o"/>
      <w:lvlJc w:val="left"/>
      <w:pPr>
        <w:tabs>
          <w:tab w:val="num" w:pos="1440"/>
        </w:tabs>
        <w:ind w:left="1440" w:hanging="360"/>
      </w:pPr>
      <w:rPr>
        <w:rFonts w:ascii="Courier New" w:hAnsi="Courier New" w:hint="default"/>
      </w:rPr>
    </w:lvl>
    <w:lvl w:ilvl="2" w:tplc="7EA4D756" w:tentative="1">
      <w:start w:val="1"/>
      <w:numFmt w:val="bullet"/>
      <w:lvlText w:val=""/>
      <w:lvlJc w:val="left"/>
      <w:pPr>
        <w:tabs>
          <w:tab w:val="num" w:pos="2160"/>
        </w:tabs>
        <w:ind w:left="2160" w:hanging="360"/>
      </w:pPr>
      <w:rPr>
        <w:rFonts w:ascii="Wingdings" w:hAnsi="Wingdings" w:hint="default"/>
      </w:rPr>
    </w:lvl>
    <w:lvl w:ilvl="3" w:tplc="8EC6E178" w:tentative="1">
      <w:start w:val="1"/>
      <w:numFmt w:val="bullet"/>
      <w:lvlText w:val=""/>
      <w:lvlJc w:val="left"/>
      <w:pPr>
        <w:tabs>
          <w:tab w:val="num" w:pos="2880"/>
        </w:tabs>
        <w:ind w:left="2880" w:hanging="360"/>
      </w:pPr>
      <w:rPr>
        <w:rFonts w:ascii="Symbol" w:hAnsi="Symbol" w:hint="default"/>
      </w:rPr>
    </w:lvl>
    <w:lvl w:ilvl="4" w:tplc="6916F9B2" w:tentative="1">
      <w:start w:val="1"/>
      <w:numFmt w:val="bullet"/>
      <w:lvlText w:val="o"/>
      <w:lvlJc w:val="left"/>
      <w:pPr>
        <w:tabs>
          <w:tab w:val="num" w:pos="3600"/>
        </w:tabs>
        <w:ind w:left="3600" w:hanging="360"/>
      </w:pPr>
      <w:rPr>
        <w:rFonts w:ascii="Courier New" w:hAnsi="Courier New" w:hint="default"/>
      </w:rPr>
    </w:lvl>
    <w:lvl w:ilvl="5" w:tplc="B2D2D45C" w:tentative="1">
      <w:start w:val="1"/>
      <w:numFmt w:val="bullet"/>
      <w:lvlText w:val=""/>
      <w:lvlJc w:val="left"/>
      <w:pPr>
        <w:tabs>
          <w:tab w:val="num" w:pos="4320"/>
        </w:tabs>
        <w:ind w:left="4320" w:hanging="360"/>
      </w:pPr>
      <w:rPr>
        <w:rFonts w:ascii="Wingdings" w:hAnsi="Wingdings" w:hint="default"/>
      </w:rPr>
    </w:lvl>
    <w:lvl w:ilvl="6" w:tplc="4E44D6B6" w:tentative="1">
      <w:start w:val="1"/>
      <w:numFmt w:val="bullet"/>
      <w:lvlText w:val=""/>
      <w:lvlJc w:val="left"/>
      <w:pPr>
        <w:tabs>
          <w:tab w:val="num" w:pos="5040"/>
        </w:tabs>
        <w:ind w:left="5040" w:hanging="360"/>
      </w:pPr>
      <w:rPr>
        <w:rFonts w:ascii="Symbol" w:hAnsi="Symbol" w:hint="default"/>
      </w:rPr>
    </w:lvl>
    <w:lvl w:ilvl="7" w:tplc="B1BA9E0A" w:tentative="1">
      <w:start w:val="1"/>
      <w:numFmt w:val="bullet"/>
      <w:lvlText w:val="o"/>
      <w:lvlJc w:val="left"/>
      <w:pPr>
        <w:tabs>
          <w:tab w:val="num" w:pos="5760"/>
        </w:tabs>
        <w:ind w:left="5760" w:hanging="360"/>
      </w:pPr>
      <w:rPr>
        <w:rFonts w:ascii="Courier New" w:hAnsi="Courier New" w:hint="default"/>
      </w:rPr>
    </w:lvl>
    <w:lvl w:ilvl="8" w:tplc="96A0FBB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624B59"/>
    <w:multiLevelType w:val="multilevel"/>
    <w:tmpl w:val="B7EC80E0"/>
    <w:name w:val="WWNum342222222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2.%3."/>
      <w:lvlJc w:val="left"/>
      <w:pPr>
        <w:tabs>
          <w:tab w:val="num" w:pos="2160"/>
        </w:tabs>
        <w:ind w:left="2160" w:hanging="180"/>
      </w:pPr>
      <w:rPr>
        <w:rFonts w:cs="Times New Roman"/>
      </w:rPr>
    </w:lvl>
    <w:lvl w:ilvl="3">
      <w:start w:val="1"/>
      <w:numFmt w:val="decimal"/>
      <w:lvlText w:val="%2.%3.%4."/>
      <w:lvlJc w:val="left"/>
      <w:pPr>
        <w:tabs>
          <w:tab w:val="num" w:pos="2880"/>
        </w:tabs>
        <w:ind w:left="2880" w:hanging="360"/>
      </w:pPr>
      <w:rPr>
        <w:rFonts w:cs="Times New Roman"/>
      </w:rPr>
    </w:lvl>
    <w:lvl w:ilvl="4">
      <w:start w:val="1"/>
      <w:numFmt w:val="lowerLetter"/>
      <w:lvlText w:val="%2.%3.%4.%5."/>
      <w:lvlJc w:val="left"/>
      <w:pPr>
        <w:tabs>
          <w:tab w:val="num" w:pos="3600"/>
        </w:tabs>
        <w:ind w:left="3600" w:hanging="360"/>
      </w:pPr>
      <w:rPr>
        <w:rFonts w:cs="Times New Roman"/>
      </w:rPr>
    </w:lvl>
    <w:lvl w:ilvl="5">
      <w:start w:val="1"/>
      <w:numFmt w:val="lowerRoman"/>
      <w:lvlText w:val="%2.%3.%4.%5.%6."/>
      <w:lvlJc w:val="left"/>
      <w:pPr>
        <w:tabs>
          <w:tab w:val="num" w:pos="4320"/>
        </w:tabs>
        <w:ind w:left="4320" w:hanging="18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lowerLetter"/>
      <w:lvlText w:val="%2.%3.%4.%5.%6.%7.%8."/>
      <w:lvlJc w:val="left"/>
      <w:pPr>
        <w:tabs>
          <w:tab w:val="num" w:pos="5760"/>
        </w:tabs>
        <w:ind w:left="5760" w:hanging="360"/>
      </w:pPr>
      <w:rPr>
        <w:rFonts w:cs="Times New Roman"/>
      </w:rPr>
    </w:lvl>
    <w:lvl w:ilvl="8">
      <w:start w:val="1"/>
      <w:numFmt w:val="lowerRoman"/>
      <w:lvlText w:val="%2.%3.%4.%5.%6.%7.%8.%9."/>
      <w:lvlJc w:val="left"/>
      <w:pPr>
        <w:tabs>
          <w:tab w:val="num" w:pos="6480"/>
        </w:tabs>
        <w:ind w:left="6480" w:hanging="180"/>
      </w:pPr>
      <w:rPr>
        <w:rFonts w:cs="Times New Roman"/>
      </w:rPr>
    </w:lvl>
  </w:abstractNum>
  <w:abstractNum w:abstractNumId="3" w15:restartNumberingAfterBreak="0">
    <w:nsid w:val="10C61D27"/>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AE001A0"/>
    <w:multiLevelType w:val="multilevel"/>
    <w:tmpl w:val="A0F0C9A0"/>
    <w:name w:val="WWNum18"/>
    <w:lvl w:ilvl="0">
      <w:start w:val="1"/>
      <w:numFmt w:val="none"/>
      <w:pStyle w:val="Estilo1"/>
      <w:lvlText w:val="%1"/>
      <w:lvlJc w:val="left"/>
      <w:pPr>
        <w:tabs>
          <w:tab w:val="num" w:pos="432"/>
        </w:tabs>
        <w:ind w:left="432" w:hanging="432"/>
      </w:pPr>
      <w:rPr>
        <w:rFonts w:ascii="Calibri" w:hAnsi="Calibri" w:cs="Times New Roman" w:hint="default"/>
        <w:b/>
        <w:i w:val="0"/>
        <w:sz w:val="24"/>
      </w:rPr>
    </w:lvl>
    <w:lvl w:ilvl="1">
      <w:start w:val="1"/>
      <w:numFmt w:val="none"/>
      <w:lvlText w:val=""/>
      <w:lvlJc w:val="left"/>
      <w:pPr>
        <w:tabs>
          <w:tab w:val="num" w:pos="284"/>
        </w:tabs>
        <w:ind w:left="284" w:hanging="284"/>
      </w:pPr>
      <w:rPr>
        <w:rFonts w:ascii="Calibri" w:hAnsi="Calibri" w:cs="Times New Roman" w:hint="default"/>
        <w:b/>
        <w:i w:val="0"/>
        <w:sz w:val="24"/>
      </w:rPr>
    </w:lvl>
    <w:lvl w:ilvl="2">
      <w:start w:val="1"/>
      <w:numFmt w:val="decimal"/>
      <w:lvlText w:val="%2.%1.%3."/>
      <w:lvlJc w:val="left"/>
      <w:pPr>
        <w:tabs>
          <w:tab w:val="num" w:pos="720"/>
        </w:tabs>
        <w:ind w:left="720" w:hanging="720"/>
      </w:pPr>
      <w:rPr>
        <w:rFonts w:cs="Times New Roman" w:hint="default"/>
        <w:b/>
        <w:i w:val="0"/>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5" w15:restartNumberingAfterBreak="0">
    <w:nsid w:val="3A1B656A"/>
    <w:multiLevelType w:val="hybridMultilevel"/>
    <w:tmpl w:val="21DEB900"/>
    <w:lvl w:ilvl="0" w:tplc="DFECFCF6">
      <w:start w:val="1"/>
      <w:numFmt w:val="bullet"/>
      <w:pStyle w:val="Contrato"/>
      <w:lvlText w:val=""/>
      <w:lvlJc w:val="left"/>
      <w:pPr>
        <w:tabs>
          <w:tab w:val="num" w:pos="340"/>
        </w:tabs>
        <w:ind w:left="397" w:hanging="397"/>
      </w:pPr>
      <w:rPr>
        <w:rFonts w:ascii="Symbol" w:hAnsi="Symbol" w:hint="default"/>
      </w:rPr>
    </w:lvl>
    <w:lvl w:ilvl="1" w:tplc="0C0A0003">
      <w:start w:val="1"/>
      <w:numFmt w:val="bullet"/>
      <w:lvlText w:val="o"/>
      <w:lvlJc w:val="left"/>
      <w:pPr>
        <w:tabs>
          <w:tab w:val="num" w:pos="1260"/>
        </w:tabs>
        <w:ind w:left="126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EA63A58"/>
    <w:multiLevelType w:val="multilevel"/>
    <w:tmpl w:val="7338C1C0"/>
    <w:lvl w:ilvl="0">
      <w:start w:val="1"/>
      <w:numFmt w:val="decimal"/>
      <w:lvlText w:val="%1"/>
      <w:lvlJc w:val="left"/>
      <w:pPr>
        <w:ind w:left="432" w:hanging="432"/>
      </w:pPr>
      <w:rPr>
        <w:rFonts w:cs="Times New Roman"/>
      </w:rPr>
    </w:lvl>
    <w:lvl w:ilvl="1">
      <w:start w:val="1"/>
      <w:numFmt w:val="decimal"/>
      <w:pStyle w:val="Ttulo2"/>
      <w:lvlText w:val="%1.%2"/>
      <w:lvlJc w:val="left"/>
      <w:pPr>
        <w:ind w:left="3128" w:hanging="576"/>
      </w:pPr>
      <w:rPr>
        <w:rFonts w:cs="Times New Roman"/>
      </w:rPr>
    </w:lvl>
    <w:lvl w:ilvl="2">
      <w:start w:val="1"/>
      <w:numFmt w:val="decimal"/>
      <w:pStyle w:val="Ttulo3"/>
      <w:lvlText w:val="%1.%2.%3"/>
      <w:lvlJc w:val="left"/>
      <w:pPr>
        <w:ind w:left="720" w:hanging="720"/>
      </w:pPr>
      <w:rPr>
        <w:rFonts w:cs="Times New Roman"/>
      </w:rPr>
    </w:lvl>
    <w:lvl w:ilvl="3">
      <w:start w:val="1"/>
      <w:numFmt w:val="decimal"/>
      <w:pStyle w:val="Ttulo4"/>
      <w:lvlText w:val="%1.%2.%3.%4"/>
      <w:lvlJc w:val="left"/>
      <w:pPr>
        <w:ind w:left="864" w:hanging="864"/>
      </w:pPr>
      <w:rPr>
        <w:rFonts w:cs="Times New Roman"/>
      </w:rPr>
    </w:lvl>
    <w:lvl w:ilvl="4">
      <w:start w:val="1"/>
      <w:numFmt w:val="decimal"/>
      <w:pStyle w:val="Ttulo5"/>
      <w:lvlText w:val="%1.%2.%3.%4.%5"/>
      <w:lvlJc w:val="left"/>
      <w:pPr>
        <w:ind w:left="1008" w:hanging="1008"/>
      </w:pPr>
      <w:rPr>
        <w:rFonts w:cs="Times New Roman"/>
      </w:rPr>
    </w:lvl>
    <w:lvl w:ilvl="5">
      <w:start w:val="1"/>
      <w:numFmt w:val="decimal"/>
      <w:pStyle w:val="Ttulo6"/>
      <w:lvlText w:val="%1.%2.%3.%4.%5.%6"/>
      <w:lvlJc w:val="left"/>
      <w:pPr>
        <w:ind w:left="1152" w:hanging="1152"/>
      </w:pPr>
      <w:rPr>
        <w:rFonts w:cs="Times New Roman"/>
      </w:rPr>
    </w:lvl>
    <w:lvl w:ilvl="6">
      <w:start w:val="1"/>
      <w:numFmt w:val="decimal"/>
      <w:pStyle w:val="Ttulo7"/>
      <w:lvlText w:val="%1.%2.%3.%4.%5.%6.%7"/>
      <w:lvlJc w:val="left"/>
      <w:pPr>
        <w:ind w:left="1296" w:hanging="1296"/>
      </w:pPr>
      <w:rPr>
        <w:rFonts w:cs="Times New Roman"/>
      </w:rPr>
    </w:lvl>
    <w:lvl w:ilvl="7">
      <w:start w:val="1"/>
      <w:numFmt w:val="decimal"/>
      <w:pStyle w:val="Ttulo8"/>
      <w:lvlText w:val="%1.%2.%3.%4.%5.%6.%7.%8"/>
      <w:lvlJc w:val="left"/>
      <w:pPr>
        <w:ind w:left="1440" w:hanging="1440"/>
      </w:pPr>
      <w:rPr>
        <w:rFonts w:cs="Times New Roman"/>
      </w:rPr>
    </w:lvl>
    <w:lvl w:ilvl="8">
      <w:start w:val="1"/>
      <w:numFmt w:val="decimal"/>
      <w:pStyle w:val="Ttulo9"/>
      <w:lvlText w:val="%1.%2.%3.%4.%5.%6.%7.%8.%9"/>
      <w:lvlJc w:val="left"/>
      <w:pPr>
        <w:ind w:left="1584" w:hanging="1584"/>
      </w:pPr>
      <w:rPr>
        <w:rFonts w:cs="Times New Roman"/>
      </w:rPr>
    </w:lvl>
  </w:abstractNum>
  <w:abstractNum w:abstractNumId="7" w15:restartNumberingAfterBreak="0">
    <w:nsid w:val="3F7641A9"/>
    <w:multiLevelType w:val="multilevel"/>
    <w:tmpl w:val="268040E8"/>
    <w:lvl w:ilvl="0">
      <w:start w:val="1"/>
      <w:numFmt w:val="decimal"/>
      <w:lvlText w:val="%1."/>
      <w:lvlJc w:val="left"/>
      <w:pPr>
        <w:tabs>
          <w:tab w:val="num" w:pos="1080"/>
        </w:tabs>
        <w:ind w:left="1080" w:hanging="1080"/>
      </w:pPr>
      <w:rPr>
        <w:rFonts w:hint="default"/>
      </w:rPr>
    </w:lvl>
    <w:lvl w:ilvl="1">
      <w:start w:val="1"/>
      <w:numFmt w:val="decimal"/>
      <w:lvlText w:val="%1.%2."/>
      <w:lvlJc w:val="left"/>
      <w:pPr>
        <w:tabs>
          <w:tab w:val="num" w:pos="1080"/>
        </w:tabs>
        <w:ind w:left="1080" w:hanging="1080"/>
      </w:pPr>
      <w:rPr>
        <w:rFonts w:hint="default"/>
      </w:rPr>
    </w:lvl>
    <w:lvl w:ilvl="2">
      <w:start w:val="1"/>
      <w:numFmt w:val="decimal"/>
      <w:pStyle w:val="C-Heading3"/>
      <w:lvlText w:val="%1.%2.%3."/>
      <w:lvlJc w:val="left"/>
      <w:pPr>
        <w:tabs>
          <w:tab w:val="num" w:pos="1080"/>
        </w:tabs>
        <w:ind w:left="1080" w:hanging="1080"/>
      </w:pPr>
      <w:rPr>
        <w:rFonts w:hint="default"/>
      </w:rPr>
    </w:lvl>
    <w:lvl w:ilvl="3">
      <w:start w:val="1"/>
      <w:numFmt w:val="decimal"/>
      <w:pStyle w:val="C-Heading3"/>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abstractNum w:abstractNumId="8" w15:restartNumberingAfterBreak="0">
    <w:nsid w:val="504B0F26"/>
    <w:multiLevelType w:val="multilevel"/>
    <w:tmpl w:val="B7EC80E0"/>
    <w:name w:val="WWNum3422222222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2.%3."/>
      <w:lvlJc w:val="left"/>
      <w:pPr>
        <w:tabs>
          <w:tab w:val="num" w:pos="2160"/>
        </w:tabs>
        <w:ind w:left="2160" w:hanging="180"/>
      </w:pPr>
      <w:rPr>
        <w:rFonts w:cs="Times New Roman"/>
      </w:rPr>
    </w:lvl>
    <w:lvl w:ilvl="3">
      <w:start w:val="1"/>
      <w:numFmt w:val="decimal"/>
      <w:lvlText w:val="%2.%3.%4."/>
      <w:lvlJc w:val="left"/>
      <w:pPr>
        <w:tabs>
          <w:tab w:val="num" w:pos="2880"/>
        </w:tabs>
        <w:ind w:left="2880" w:hanging="360"/>
      </w:pPr>
      <w:rPr>
        <w:rFonts w:cs="Times New Roman"/>
      </w:rPr>
    </w:lvl>
    <w:lvl w:ilvl="4">
      <w:start w:val="1"/>
      <w:numFmt w:val="lowerLetter"/>
      <w:lvlText w:val="%2.%3.%4.%5."/>
      <w:lvlJc w:val="left"/>
      <w:pPr>
        <w:tabs>
          <w:tab w:val="num" w:pos="3600"/>
        </w:tabs>
        <w:ind w:left="3600" w:hanging="360"/>
      </w:pPr>
      <w:rPr>
        <w:rFonts w:cs="Times New Roman"/>
      </w:rPr>
    </w:lvl>
    <w:lvl w:ilvl="5">
      <w:start w:val="1"/>
      <w:numFmt w:val="lowerRoman"/>
      <w:lvlText w:val="%2.%3.%4.%5.%6."/>
      <w:lvlJc w:val="left"/>
      <w:pPr>
        <w:tabs>
          <w:tab w:val="num" w:pos="4320"/>
        </w:tabs>
        <w:ind w:left="4320" w:hanging="18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lowerLetter"/>
      <w:lvlText w:val="%2.%3.%4.%5.%6.%7.%8."/>
      <w:lvlJc w:val="left"/>
      <w:pPr>
        <w:tabs>
          <w:tab w:val="num" w:pos="5760"/>
        </w:tabs>
        <w:ind w:left="5760" w:hanging="360"/>
      </w:pPr>
      <w:rPr>
        <w:rFonts w:cs="Times New Roman"/>
      </w:rPr>
    </w:lvl>
    <w:lvl w:ilvl="8">
      <w:start w:val="1"/>
      <w:numFmt w:val="lowerRoman"/>
      <w:lvlText w:val="%2.%3.%4.%5.%6.%7.%8.%9."/>
      <w:lvlJc w:val="left"/>
      <w:pPr>
        <w:tabs>
          <w:tab w:val="num" w:pos="6480"/>
        </w:tabs>
        <w:ind w:left="6480" w:hanging="180"/>
      </w:pPr>
      <w:rPr>
        <w:rFonts w:cs="Times New Roman"/>
      </w:rPr>
    </w:lvl>
  </w:abstractNum>
  <w:abstractNum w:abstractNumId="9" w15:restartNumberingAfterBreak="0">
    <w:nsid w:val="54FD4218"/>
    <w:multiLevelType w:val="multilevel"/>
    <w:tmpl w:val="B7EC80E0"/>
    <w:name w:val="WWNum34222222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2.%3."/>
      <w:lvlJc w:val="left"/>
      <w:pPr>
        <w:tabs>
          <w:tab w:val="num" w:pos="2160"/>
        </w:tabs>
        <w:ind w:left="2160" w:hanging="180"/>
      </w:pPr>
      <w:rPr>
        <w:rFonts w:cs="Times New Roman"/>
      </w:rPr>
    </w:lvl>
    <w:lvl w:ilvl="3">
      <w:start w:val="1"/>
      <w:numFmt w:val="decimal"/>
      <w:lvlText w:val="%2.%3.%4."/>
      <w:lvlJc w:val="left"/>
      <w:pPr>
        <w:tabs>
          <w:tab w:val="num" w:pos="2880"/>
        </w:tabs>
        <w:ind w:left="2880" w:hanging="360"/>
      </w:pPr>
      <w:rPr>
        <w:rFonts w:cs="Times New Roman"/>
      </w:rPr>
    </w:lvl>
    <w:lvl w:ilvl="4">
      <w:start w:val="1"/>
      <w:numFmt w:val="lowerLetter"/>
      <w:lvlText w:val="%2.%3.%4.%5."/>
      <w:lvlJc w:val="left"/>
      <w:pPr>
        <w:tabs>
          <w:tab w:val="num" w:pos="3600"/>
        </w:tabs>
        <w:ind w:left="3600" w:hanging="360"/>
      </w:pPr>
      <w:rPr>
        <w:rFonts w:cs="Times New Roman"/>
      </w:rPr>
    </w:lvl>
    <w:lvl w:ilvl="5">
      <w:start w:val="1"/>
      <w:numFmt w:val="lowerRoman"/>
      <w:lvlText w:val="%2.%3.%4.%5.%6."/>
      <w:lvlJc w:val="left"/>
      <w:pPr>
        <w:tabs>
          <w:tab w:val="num" w:pos="4320"/>
        </w:tabs>
        <w:ind w:left="4320" w:hanging="18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lowerLetter"/>
      <w:lvlText w:val="%2.%3.%4.%5.%6.%7.%8."/>
      <w:lvlJc w:val="left"/>
      <w:pPr>
        <w:tabs>
          <w:tab w:val="num" w:pos="5760"/>
        </w:tabs>
        <w:ind w:left="5760" w:hanging="360"/>
      </w:pPr>
      <w:rPr>
        <w:rFonts w:cs="Times New Roman"/>
      </w:rPr>
    </w:lvl>
    <w:lvl w:ilvl="8">
      <w:start w:val="1"/>
      <w:numFmt w:val="lowerRoman"/>
      <w:lvlText w:val="%2.%3.%4.%5.%6.%7.%8.%9."/>
      <w:lvlJc w:val="left"/>
      <w:pPr>
        <w:tabs>
          <w:tab w:val="num" w:pos="6480"/>
        </w:tabs>
        <w:ind w:left="6480" w:hanging="180"/>
      </w:pPr>
      <w:rPr>
        <w:rFonts w:cs="Times New Roman"/>
      </w:rPr>
    </w:lvl>
  </w:abstractNum>
  <w:abstractNum w:abstractNumId="10" w15:restartNumberingAfterBreak="0">
    <w:nsid w:val="7B205D2E"/>
    <w:multiLevelType w:val="singleLevel"/>
    <w:tmpl w:val="30F8FE8A"/>
    <w:lvl w:ilvl="0">
      <w:start w:val="1"/>
      <w:numFmt w:val="bullet"/>
      <w:pStyle w:val="BulletIndent1"/>
      <w:lvlText w:val=""/>
      <w:lvlJc w:val="left"/>
      <w:pPr>
        <w:tabs>
          <w:tab w:val="num" w:pos="360"/>
        </w:tabs>
        <w:ind w:left="360" w:hanging="360"/>
      </w:pPr>
      <w:rPr>
        <w:rFonts w:ascii="Symbol" w:hAnsi="Symbol" w:hint="default"/>
      </w:rPr>
    </w:lvl>
  </w:abstractNum>
  <w:abstractNum w:abstractNumId="11" w15:restartNumberingAfterBreak="0">
    <w:nsid w:val="7E4D214C"/>
    <w:multiLevelType w:val="hybridMultilevel"/>
    <w:tmpl w:val="5F06F64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6"/>
  </w:num>
  <w:num w:numId="2">
    <w:abstractNumId w:val="5"/>
  </w:num>
  <w:num w:numId="3">
    <w:abstractNumId w:val="4"/>
  </w:num>
  <w:num w:numId="4">
    <w:abstractNumId w:val="10"/>
  </w:num>
  <w:num w:numId="5">
    <w:abstractNumId w:val="7"/>
  </w:num>
  <w:num w:numId="6">
    <w:abstractNumId w:val="11"/>
  </w:num>
  <w:num w:numId="7">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en-GB" w:vendorID="64" w:dllVersion="6" w:nlCheck="1" w:checkStyle="1"/>
  <w:activeWritingStyle w:appName="MSWord" w:lang="es-ES_tradnl" w:vendorID="64" w:dllVersion="6" w:nlCheck="1" w:checkStyle="1"/>
  <w:activeWritingStyle w:appName="MSWord" w:lang="en-US" w:vendorID="64" w:dllVersion="6" w:nlCheck="1" w:checkStyle="1"/>
  <w:activeWritingStyle w:appName="MSWord" w:lang="es-ES" w:vendorID="64" w:dllVersion="6" w:nlCheck="1" w:checkStyle="1"/>
  <w:activeWritingStyle w:appName="MSWord" w:lang="it-IT" w:vendorID="64" w:dllVersion="4096" w:nlCheck="1" w:checkStyle="0"/>
  <w:activeWritingStyle w:appName="MSWord" w:lang="it-IT" w:vendorID="64" w:dllVersion="0" w:nlCheck="1" w:checkStyle="0"/>
  <w:activeWritingStyle w:appName="MSWord" w:lang="en-US" w:vendorID="64" w:dllVersion="0" w:nlCheck="1" w:checkStyle="0"/>
  <w:activeWritingStyle w:appName="MSWord" w:lang="es-ES" w:vendorID="64" w:dllVersion="0" w:nlCheck="1" w:checkStyle="0"/>
  <w:activeWritingStyle w:appName="MSWord" w:lang="es-ES_tradnl" w:vendorID="64" w:dllVersion="0"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FC2"/>
    <w:rsid w:val="000015AB"/>
    <w:rsid w:val="00002840"/>
    <w:rsid w:val="00003660"/>
    <w:rsid w:val="00003763"/>
    <w:rsid w:val="00004347"/>
    <w:rsid w:val="00006F82"/>
    <w:rsid w:val="00007787"/>
    <w:rsid w:val="00011E3E"/>
    <w:rsid w:val="00012D1A"/>
    <w:rsid w:val="000137B5"/>
    <w:rsid w:val="00013D5C"/>
    <w:rsid w:val="00014B39"/>
    <w:rsid w:val="00014C31"/>
    <w:rsid w:val="00017151"/>
    <w:rsid w:val="00017CB7"/>
    <w:rsid w:val="00017F50"/>
    <w:rsid w:val="00017FBC"/>
    <w:rsid w:val="000204AD"/>
    <w:rsid w:val="00020579"/>
    <w:rsid w:val="00020FB3"/>
    <w:rsid w:val="0002244A"/>
    <w:rsid w:val="00022A29"/>
    <w:rsid w:val="00022B4B"/>
    <w:rsid w:val="000246F9"/>
    <w:rsid w:val="00025123"/>
    <w:rsid w:val="00025747"/>
    <w:rsid w:val="00026F4A"/>
    <w:rsid w:val="00027004"/>
    <w:rsid w:val="0002796A"/>
    <w:rsid w:val="00027B42"/>
    <w:rsid w:val="00030287"/>
    <w:rsid w:val="000307A4"/>
    <w:rsid w:val="000307B9"/>
    <w:rsid w:val="0003150A"/>
    <w:rsid w:val="000323C1"/>
    <w:rsid w:val="00033F5A"/>
    <w:rsid w:val="00034BD1"/>
    <w:rsid w:val="00034F4E"/>
    <w:rsid w:val="000409A9"/>
    <w:rsid w:val="0004167D"/>
    <w:rsid w:val="000420BE"/>
    <w:rsid w:val="0004297F"/>
    <w:rsid w:val="00044969"/>
    <w:rsid w:val="00044B99"/>
    <w:rsid w:val="00045EDB"/>
    <w:rsid w:val="00046D49"/>
    <w:rsid w:val="00047184"/>
    <w:rsid w:val="000523FD"/>
    <w:rsid w:val="00052736"/>
    <w:rsid w:val="00052C43"/>
    <w:rsid w:val="00052C46"/>
    <w:rsid w:val="00053C5A"/>
    <w:rsid w:val="00054331"/>
    <w:rsid w:val="00054804"/>
    <w:rsid w:val="00054D50"/>
    <w:rsid w:val="00054D6D"/>
    <w:rsid w:val="00057344"/>
    <w:rsid w:val="000579A0"/>
    <w:rsid w:val="00057A6B"/>
    <w:rsid w:val="00057AC3"/>
    <w:rsid w:val="00062763"/>
    <w:rsid w:val="00062A48"/>
    <w:rsid w:val="00063BC5"/>
    <w:rsid w:val="00064C9F"/>
    <w:rsid w:val="00064DDF"/>
    <w:rsid w:val="000655B8"/>
    <w:rsid w:val="000661E3"/>
    <w:rsid w:val="000679C5"/>
    <w:rsid w:val="00067D90"/>
    <w:rsid w:val="000700B8"/>
    <w:rsid w:val="000709D1"/>
    <w:rsid w:val="00070D21"/>
    <w:rsid w:val="00072A77"/>
    <w:rsid w:val="00072AD4"/>
    <w:rsid w:val="00072ECB"/>
    <w:rsid w:val="000732E2"/>
    <w:rsid w:val="0007485A"/>
    <w:rsid w:val="00074CC0"/>
    <w:rsid w:val="00074CD6"/>
    <w:rsid w:val="000750B3"/>
    <w:rsid w:val="00075250"/>
    <w:rsid w:val="00075955"/>
    <w:rsid w:val="00075BE2"/>
    <w:rsid w:val="00077CF9"/>
    <w:rsid w:val="000810ED"/>
    <w:rsid w:val="00082296"/>
    <w:rsid w:val="000830C0"/>
    <w:rsid w:val="00083AF2"/>
    <w:rsid w:val="0008400A"/>
    <w:rsid w:val="00084916"/>
    <w:rsid w:val="00086E20"/>
    <w:rsid w:val="000906EE"/>
    <w:rsid w:val="00091124"/>
    <w:rsid w:val="0009165F"/>
    <w:rsid w:val="00096F47"/>
    <w:rsid w:val="000977B0"/>
    <w:rsid w:val="00097F6F"/>
    <w:rsid w:val="000A24B4"/>
    <w:rsid w:val="000A270F"/>
    <w:rsid w:val="000A27F1"/>
    <w:rsid w:val="000A3034"/>
    <w:rsid w:val="000A31E3"/>
    <w:rsid w:val="000A353B"/>
    <w:rsid w:val="000A489E"/>
    <w:rsid w:val="000A4F4B"/>
    <w:rsid w:val="000A5BDA"/>
    <w:rsid w:val="000A6420"/>
    <w:rsid w:val="000A684E"/>
    <w:rsid w:val="000A7761"/>
    <w:rsid w:val="000A7CF1"/>
    <w:rsid w:val="000B2AF5"/>
    <w:rsid w:val="000B2DDD"/>
    <w:rsid w:val="000B32C0"/>
    <w:rsid w:val="000B4F19"/>
    <w:rsid w:val="000B51F9"/>
    <w:rsid w:val="000C01C5"/>
    <w:rsid w:val="000C0A03"/>
    <w:rsid w:val="000C15AF"/>
    <w:rsid w:val="000C18FA"/>
    <w:rsid w:val="000C2896"/>
    <w:rsid w:val="000C301F"/>
    <w:rsid w:val="000C31C9"/>
    <w:rsid w:val="000C3866"/>
    <w:rsid w:val="000C3B16"/>
    <w:rsid w:val="000C6429"/>
    <w:rsid w:val="000C6D63"/>
    <w:rsid w:val="000C7746"/>
    <w:rsid w:val="000D0713"/>
    <w:rsid w:val="000D0E16"/>
    <w:rsid w:val="000D0E45"/>
    <w:rsid w:val="000D322F"/>
    <w:rsid w:val="000D39E9"/>
    <w:rsid w:val="000D571A"/>
    <w:rsid w:val="000D5A65"/>
    <w:rsid w:val="000D6E01"/>
    <w:rsid w:val="000D7584"/>
    <w:rsid w:val="000D78A8"/>
    <w:rsid w:val="000D7A42"/>
    <w:rsid w:val="000E013D"/>
    <w:rsid w:val="000E0C53"/>
    <w:rsid w:val="000E3661"/>
    <w:rsid w:val="000E3B02"/>
    <w:rsid w:val="000E5CD5"/>
    <w:rsid w:val="000F0129"/>
    <w:rsid w:val="000F1487"/>
    <w:rsid w:val="000F1DB1"/>
    <w:rsid w:val="000F1EDA"/>
    <w:rsid w:val="000F3D49"/>
    <w:rsid w:val="000F5432"/>
    <w:rsid w:val="000F63B5"/>
    <w:rsid w:val="000F68BD"/>
    <w:rsid w:val="001010F7"/>
    <w:rsid w:val="00101959"/>
    <w:rsid w:val="00101D43"/>
    <w:rsid w:val="00104352"/>
    <w:rsid w:val="0010589F"/>
    <w:rsid w:val="001068FC"/>
    <w:rsid w:val="00110851"/>
    <w:rsid w:val="00110E99"/>
    <w:rsid w:val="0011228F"/>
    <w:rsid w:val="00114398"/>
    <w:rsid w:val="00114E1B"/>
    <w:rsid w:val="00115D74"/>
    <w:rsid w:val="001164D0"/>
    <w:rsid w:val="00117781"/>
    <w:rsid w:val="001203A1"/>
    <w:rsid w:val="00123311"/>
    <w:rsid w:val="00123A14"/>
    <w:rsid w:val="00123D1F"/>
    <w:rsid w:val="0012402B"/>
    <w:rsid w:val="001241A5"/>
    <w:rsid w:val="00124B5B"/>
    <w:rsid w:val="001251E0"/>
    <w:rsid w:val="00132440"/>
    <w:rsid w:val="00135112"/>
    <w:rsid w:val="00135A44"/>
    <w:rsid w:val="00135C39"/>
    <w:rsid w:val="001369D6"/>
    <w:rsid w:val="00141A03"/>
    <w:rsid w:val="00142146"/>
    <w:rsid w:val="00143885"/>
    <w:rsid w:val="001449E9"/>
    <w:rsid w:val="00144A62"/>
    <w:rsid w:val="00144ECC"/>
    <w:rsid w:val="00146395"/>
    <w:rsid w:val="00150218"/>
    <w:rsid w:val="001504D2"/>
    <w:rsid w:val="00150851"/>
    <w:rsid w:val="00151326"/>
    <w:rsid w:val="00152BA4"/>
    <w:rsid w:val="00153D21"/>
    <w:rsid w:val="00154AD0"/>
    <w:rsid w:val="001554A8"/>
    <w:rsid w:val="00157406"/>
    <w:rsid w:val="001616F4"/>
    <w:rsid w:val="00161B52"/>
    <w:rsid w:val="001623DE"/>
    <w:rsid w:val="00162BDE"/>
    <w:rsid w:val="001636B9"/>
    <w:rsid w:val="00164459"/>
    <w:rsid w:val="00164EAA"/>
    <w:rsid w:val="001652D3"/>
    <w:rsid w:val="00165321"/>
    <w:rsid w:val="00165DCB"/>
    <w:rsid w:val="001675C9"/>
    <w:rsid w:val="001675E3"/>
    <w:rsid w:val="00170A89"/>
    <w:rsid w:val="00171B28"/>
    <w:rsid w:val="001771EC"/>
    <w:rsid w:val="001773EB"/>
    <w:rsid w:val="0018019E"/>
    <w:rsid w:val="00180220"/>
    <w:rsid w:val="00180B1E"/>
    <w:rsid w:val="00181032"/>
    <w:rsid w:val="00182D07"/>
    <w:rsid w:val="00183009"/>
    <w:rsid w:val="0018358B"/>
    <w:rsid w:val="00184D85"/>
    <w:rsid w:val="00184D96"/>
    <w:rsid w:val="0018588B"/>
    <w:rsid w:val="00185ED0"/>
    <w:rsid w:val="0018604D"/>
    <w:rsid w:val="001875C6"/>
    <w:rsid w:val="0019092F"/>
    <w:rsid w:val="00190ADF"/>
    <w:rsid w:val="00190D88"/>
    <w:rsid w:val="00190E63"/>
    <w:rsid w:val="00191346"/>
    <w:rsid w:val="0019152F"/>
    <w:rsid w:val="00191ED5"/>
    <w:rsid w:val="0019246C"/>
    <w:rsid w:val="00192677"/>
    <w:rsid w:val="00194448"/>
    <w:rsid w:val="00194E29"/>
    <w:rsid w:val="0019530F"/>
    <w:rsid w:val="001A0F52"/>
    <w:rsid w:val="001A1E37"/>
    <w:rsid w:val="001A7EA1"/>
    <w:rsid w:val="001B0C3B"/>
    <w:rsid w:val="001B1F80"/>
    <w:rsid w:val="001B2889"/>
    <w:rsid w:val="001B2914"/>
    <w:rsid w:val="001B2B14"/>
    <w:rsid w:val="001B3607"/>
    <w:rsid w:val="001B3B5F"/>
    <w:rsid w:val="001B5663"/>
    <w:rsid w:val="001B656E"/>
    <w:rsid w:val="001B70A2"/>
    <w:rsid w:val="001B7190"/>
    <w:rsid w:val="001B77ED"/>
    <w:rsid w:val="001B7B12"/>
    <w:rsid w:val="001B7E02"/>
    <w:rsid w:val="001C1175"/>
    <w:rsid w:val="001C1D45"/>
    <w:rsid w:val="001C2C3E"/>
    <w:rsid w:val="001C3DC5"/>
    <w:rsid w:val="001C46BB"/>
    <w:rsid w:val="001C4AA9"/>
    <w:rsid w:val="001C4D9E"/>
    <w:rsid w:val="001C5CA7"/>
    <w:rsid w:val="001C666B"/>
    <w:rsid w:val="001C71B4"/>
    <w:rsid w:val="001C7B3B"/>
    <w:rsid w:val="001D3358"/>
    <w:rsid w:val="001D3EFA"/>
    <w:rsid w:val="001D47CA"/>
    <w:rsid w:val="001D69AB"/>
    <w:rsid w:val="001D7409"/>
    <w:rsid w:val="001D7759"/>
    <w:rsid w:val="001D7C10"/>
    <w:rsid w:val="001E0859"/>
    <w:rsid w:val="001E2A5F"/>
    <w:rsid w:val="001E3014"/>
    <w:rsid w:val="001E4D3B"/>
    <w:rsid w:val="001E6885"/>
    <w:rsid w:val="001F0DBB"/>
    <w:rsid w:val="001F1F45"/>
    <w:rsid w:val="001F22C7"/>
    <w:rsid w:val="001F3336"/>
    <w:rsid w:val="001F3797"/>
    <w:rsid w:val="001F3950"/>
    <w:rsid w:val="001F40E0"/>
    <w:rsid w:val="001F72C9"/>
    <w:rsid w:val="001F7BF3"/>
    <w:rsid w:val="00202DCE"/>
    <w:rsid w:val="00202F3A"/>
    <w:rsid w:val="00203137"/>
    <w:rsid w:val="00205E0B"/>
    <w:rsid w:val="00211CF2"/>
    <w:rsid w:val="0021343C"/>
    <w:rsid w:val="00214F85"/>
    <w:rsid w:val="00215B50"/>
    <w:rsid w:val="00215D01"/>
    <w:rsid w:val="00216FE0"/>
    <w:rsid w:val="00217633"/>
    <w:rsid w:val="00220994"/>
    <w:rsid w:val="0022102B"/>
    <w:rsid w:val="00222025"/>
    <w:rsid w:val="0022315C"/>
    <w:rsid w:val="00223598"/>
    <w:rsid w:val="0022586A"/>
    <w:rsid w:val="0022593B"/>
    <w:rsid w:val="00226548"/>
    <w:rsid w:val="002267BA"/>
    <w:rsid w:val="00226FCD"/>
    <w:rsid w:val="00227FF5"/>
    <w:rsid w:val="00231DFB"/>
    <w:rsid w:val="00233C68"/>
    <w:rsid w:val="00233EE6"/>
    <w:rsid w:val="002344C9"/>
    <w:rsid w:val="002351CC"/>
    <w:rsid w:val="00236CC1"/>
    <w:rsid w:val="00237181"/>
    <w:rsid w:val="0023768A"/>
    <w:rsid w:val="00237989"/>
    <w:rsid w:val="00237FEE"/>
    <w:rsid w:val="00240E1F"/>
    <w:rsid w:val="00243C04"/>
    <w:rsid w:val="0024426A"/>
    <w:rsid w:val="00244655"/>
    <w:rsid w:val="00244DA6"/>
    <w:rsid w:val="00244E72"/>
    <w:rsid w:val="00245662"/>
    <w:rsid w:val="0024630F"/>
    <w:rsid w:val="0024677E"/>
    <w:rsid w:val="00246ECF"/>
    <w:rsid w:val="002522E4"/>
    <w:rsid w:val="002522E8"/>
    <w:rsid w:val="00253A63"/>
    <w:rsid w:val="002562BF"/>
    <w:rsid w:val="002562E5"/>
    <w:rsid w:val="002619E3"/>
    <w:rsid w:val="00261CA6"/>
    <w:rsid w:val="00262ABF"/>
    <w:rsid w:val="00262CBE"/>
    <w:rsid w:val="00263345"/>
    <w:rsid w:val="002635A2"/>
    <w:rsid w:val="00265289"/>
    <w:rsid w:val="0026545E"/>
    <w:rsid w:val="00266B07"/>
    <w:rsid w:val="00267525"/>
    <w:rsid w:val="00267922"/>
    <w:rsid w:val="002707A9"/>
    <w:rsid w:val="0027113B"/>
    <w:rsid w:val="002714A2"/>
    <w:rsid w:val="00271753"/>
    <w:rsid w:val="002745B1"/>
    <w:rsid w:val="00274F82"/>
    <w:rsid w:val="0027663C"/>
    <w:rsid w:val="00276D91"/>
    <w:rsid w:val="0027703A"/>
    <w:rsid w:val="00280ABB"/>
    <w:rsid w:val="00280D1B"/>
    <w:rsid w:val="00283057"/>
    <w:rsid w:val="0028313F"/>
    <w:rsid w:val="00283D20"/>
    <w:rsid w:val="00283F50"/>
    <w:rsid w:val="00284185"/>
    <w:rsid w:val="002868EC"/>
    <w:rsid w:val="00286DF6"/>
    <w:rsid w:val="00290CD8"/>
    <w:rsid w:val="0029123A"/>
    <w:rsid w:val="00291320"/>
    <w:rsid w:val="00294EFB"/>
    <w:rsid w:val="00295288"/>
    <w:rsid w:val="002973E9"/>
    <w:rsid w:val="00297934"/>
    <w:rsid w:val="002979D7"/>
    <w:rsid w:val="002A0002"/>
    <w:rsid w:val="002A00C4"/>
    <w:rsid w:val="002A23E2"/>
    <w:rsid w:val="002A34E1"/>
    <w:rsid w:val="002A3C97"/>
    <w:rsid w:val="002A5119"/>
    <w:rsid w:val="002A59DD"/>
    <w:rsid w:val="002A5E30"/>
    <w:rsid w:val="002A6CA1"/>
    <w:rsid w:val="002A6FD3"/>
    <w:rsid w:val="002A7D76"/>
    <w:rsid w:val="002A7E13"/>
    <w:rsid w:val="002B3E8A"/>
    <w:rsid w:val="002B4366"/>
    <w:rsid w:val="002B71AA"/>
    <w:rsid w:val="002B7D27"/>
    <w:rsid w:val="002C096A"/>
    <w:rsid w:val="002C2770"/>
    <w:rsid w:val="002C4E2F"/>
    <w:rsid w:val="002C5698"/>
    <w:rsid w:val="002C63BC"/>
    <w:rsid w:val="002D11D6"/>
    <w:rsid w:val="002D1575"/>
    <w:rsid w:val="002D18B4"/>
    <w:rsid w:val="002D1A94"/>
    <w:rsid w:val="002D37B8"/>
    <w:rsid w:val="002D4891"/>
    <w:rsid w:val="002D5611"/>
    <w:rsid w:val="002D595D"/>
    <w:rsid w:val="002D729C"/>
    <w:rsid w:val="002D7560"/>
    <w:rsid w:val="002D7A2A"/>
    <w:rsid w:val="002D7D16"/>
    <w:rsid w:val="002E01F7"/>
    <w:rsid w:val="002E05C2"/>
    <w:rsid w:val="002E131E"/>
    <w:rsid w:val="002E14B5"/>
    <w:rsid w:val="002E15BE"/>
    <w:rsid w:val="002E18A6"/>
    <w:rsid w:val="002E2420"/>
    <w:rsid w:val="002E2F18"/>
    <w:rsid w:val="002E3377"/>
    <w:rsid w:val="002E495B"/>
    <w:rsid w:val="002E5C13"/>
    <w:rsid w:val="002E6463"/>
    <w:rsid w:val="002E66B4"/>
    <w:rsid w:val="002E6A94"/>
    <w:rsid w:val="002F01A8"/>
    <w:rsid w:val="002F06E6"/>
    <w:rsid w:val="002F0814"/>
    <w:rsid w:val="002F28C7"/>
    <w:rsid w:val="002F2ECF"/>
    <w:rsid w:val="002F32C2"/>
    <w:rsid w:val="002F3849"/>
    <w:rsid w:val="002F6225"/>
    <w:rsid w:val="002F6599"/>
    <w:rsid w:val="002F7C86"/>
    <w:rsid w:val="002F7EA2"/>
    <w:rsid w:val="00300CDC"/>
    <w:rsid w:val="003012FF"/>
    <w:rsid w:val="003032A5"/>
    <w:rsid w:val="003033D4"/>
    <w:rsid w:val="00306391"/>
    <w:rsid w:val="00306D37"/>
    <w:rsid w:val="00310938"/>
    <w:rsid w:val="00312D1C"/>
    <w:rsid w:val="00312EEC"/>
    <w:rsid w:val="00313186"/>
    <w:rsid w:val="003131EF"/>
    <w:rsid w:val="00313CA3"/>
    <w:rsid w:val="00313FF7"/>
    <w:rsid w:val="003149EC"/>
    <w:rsid w:val="003152AD"/>
    <w:rsid w:val="003208B8"/>
    <w:rsid w:val="0032097D"/>
    <w:rsid w:val="00320EDA"/>
    <w:rsid w:val="003240A6"/>
    <w:rsid w:val="00324962"/>
    <w:rsid w:val="003251B1"/>
    <w:rsid w:val="003269D0"/>
    <w:rsid w:val="003271DB"/>
    <w:rsid w:val="003277FD"/>
    <w:rsid w:val="0033161D"/>
    <w:rsid w:val="00331BFD"/>
    <w:rsid w:val="00331CFF"/>
    <w:rsid w:val="00332658"/>
    <w:rsid w:val="00333054"/>
    <w:rsid w:val="00333FE3"/>
    <w:rsid w:val="0033469F"/>
    <w:rsid w:val="00334B68"/>
    <w:rsid w:val="00335645"/>
    <w:rsid w:val="00335AA8"/>
    <w:rsid w:val="00335B64"/>
    <w:rsid w:val="00335BF1"/>
    <w:rsid w:val="003369CE"/>
    <w:rsid w:val="003376B7"/>
    <w:rsid w:val="003379CE"/>
    <w:rsid w:val="0034019F"/>
    <w:rsid w:val="003414DC"/>
    <w:rsid w:val="003438DA"/>
    <w:rsid w:val="00344C86"/>
    <w:rsid w:val="00346B94"/>
    <w:rsid w:val="00350B31"/>
    <w:rsid w:val="00350ED8"/>
    <w:rsid w:val="003510DA"/>
    <w:rsid w:val="003513EF"/>
    <w:rsid w:val="00353B85"/>
    <w:rsid w:val="003544F6"/>
    <w:rsid w:val="003546EA"/>
    <w:rsid w:val="003571D0"/>
    <w:rsid w:val="00357A7D"/>
    <w:rsid w:val="00360C0B"/>
    <w:rsid w:val="003617F7"/>
    <w:rsid w:val="00362010"/>
    <w:rsid w:val="003624CB"/>
    <w:rsid w:val="00362A29"/>
    <w:rsid w:val="0036385A"/>
    <w:rsid w:val="00364072"/>
    <w:rsid w:val="00364AD3"/>
    <w:rsid w:val="0036521E"/>
    <w:rsid w:val="003656A3"/>
    <w:rsid w:val="003659B6"/>
    <w:rsid w:val="00365B14"/>
    <w:rsid w:val="00365E89"/>
    <w:rsid w:val="0036671F"/>
    <w:rsid w:val="00366EDB"/>
    <w:rsid w:val="003673FE"/>
    <w:rsid w:val="003677C3"/>
    <w:rsid w:val="00372412"/>
    <w:rsid w:val="003724EE"/>
    <w:rsid w:val="00373A72"/>
    <w:rsid w:val="00374C63"/>
    <w:rsid w:val="003762EE"/>
    <w:rsid w:val="003770A9"/>
    <w:rsid w:val="003822A2"/>
    <w:rsid w:val="00382E01"/>
    <w:rsid w:val="0038365F"/>
    <w:rsid w:val="00383B49"/>
    <w:rsid w:val="00383E4F"/>
    <w:rsid w:val="00384B7C"/>
    <w:rsid w:val="0038651A"/>
    <w:rsid w:val="00386DF5"/>
    <w:rsid w:val="00387D18"/>
    <w:rsid w:val="003920F7"/>
    <w:rsid w:val="00393BC7"/>
    <w:rsid w:val="0039513F"/>
    <w:rsid w:val="0039563E"/>
    <w:rsid w:val="00395DC6"/>
    <w:rsid w:val="0039621C"/>
    <w:rsid w:val="003962E6"/>
    <w:rsid w:val="003A1FD4"/>
    <w:rsid w:val="003A221F"/>
    <w:rsid w:val="003A23DA"/>
    <w:rsid w:val="003A2884"/>
    <w:rsid w:val="003A3BBB"/>
    <w:rsid w:val="003A3CFC"/>
    <w:rsid w:val="003A5315"/>
    <w:rsid w:val="003A5640"/>
    <w:rsid w:val="003A5C63"/>
    <w:rsid w:val="003A5F55"/>
    <w:rsid w:val="003A61BA"/>
    <w:rsid w:val="003A68E3"/>
    <w:rsid w:val="003A695F"/>
    <w:rsid w:val="003A6A02"/>
    <w:rsid w:val="003A7615"/>
    <w:rsid w:val="003B0AD6"/>
    <w:rsid w:val="003B0AF0"/>
    <w:rsid w:val="003B1165"/>
    <w:rsid w:val="003B15EA"/>
    <w:rsid w:val="003B31EF"/>
    <w:rsid w:val="003B364A"/>
    <w:rsid w:val="003B69F4"/>
    <w:rsid w:val="003B6E0F"/>
    <w:rsid w:val="003B7006"/>
    <w:rsid w:val="003B72B2"/>
    <w:rsid w:val="003B7EBC"/>
    <w:rsid w:val="003C2717"/>
    <w:rsid w:val="003C2B1F"/>
    <w:rsid w:val="003C2BE6"/>
    <w:rsid w:val="003C3902"/>
    <w:rsid w:val="003C3995"/>
    <w:rsid w:val="003C3A4B"/>
    <w:rsid w:val="003C3E81"/>
    <w:rsid w:val="003C3FAF"/>
    <w:rsid w:val="003C5A05"/>
    <w:rsid w:val="003C6B6E"/>
    <w:rsid w:val="003C6D07"/>
    <w:rsid w:val="003C74F6"/>
    <w:rsid w:val="003D040D"/>
    <w:rsid w:val="003D052F"/>
    <w:rsid w:val="003D0A81"/>
    <w:rsid w:val="003D0F16"/>
    <w:rsid w:val="003D107E"/>
    <w:rsid w:val="003D2642"/>
    <w:rsid w:val="003D3AE8"/>
    <w:rsid w:val="003D4691"/>
    <w:rsid w:val="003D699B"/>
    <w:rsid w:val="003D71B9"/>
    <w:rsid w:val="003D78FD"/>
    <w:rsid w:val="003E0C7E"/>
    <w:rsid w:val="003E22EF"/>
    <w:rsid w:val="003E266F"/>
    <w:rsid w:val="003E2D1B"/>
    <w:rsid w:val="003E2F10"/>
    <w:rsid w:val="003E4218"/>
    <w:rsid w:val="003E49EC"/>
    <w:rsid w:val="003E5553"/>
    <w:rsid w:val="003E5F43"/>
    <w:rsid w:val="003E6110"/>
    <w:rsid w:val="003E638B"/>
    <w:rsid w:val="003F041C"/>
    <w:rsid w:val="003F05FF"/>
    <w:rsid w:val="003F0C39"/>
    <w:rsid w:val="003F25C4"/>
    <w:rsid w:val="003F3B41"/>
    <w:rsid w:val="003F3EFF"/>
    <w:rsid w:val="003F4212"/>
    <w:rsid w:val="003F4790"/>
    <w:rsid w:val="003F4D62"/>
    <w:rsid w:val="003F55B7"/>
    <w:rsid w:val="003F5604"/>
    <w:rsid w:val="003F59C6"/>
    <w:rsid w:val="003F6844"/>
    <w:rsid w:val="003F6DE0"/>
    <w:rsid w:val="003F70B2"/>
    <w:rsid w:val="003F7333"/>
    <w:rsid w:val="00400193"/>
    <w:rsid w:val="00404D34"/>
    <w:rsid w:val="00405A62"/>
    <w:rsid w:val="004075A8"/>
    <w:rsid w:val="004111B3"/>
    <w:rsid w:val="0041152C"/>
    <w:rsid w:val="00412232"/>
    <w:rsid w:val="00414EB4"/>
    <w:rsid w:val="00416273"/>
    <w:rsid w:val="00416456"/>
    <w:rsid w:val="004174F6"/>
    <w:rsid w:val="00420A46"/>
    <w:rsid w:val="00420B52"/>
    <w:rsid w:val="00421B68"/>
    <w:rsid w:val="00422A3B"/>
    <w:rsid w:val="00423136"/>
    <w:rsid w:val="004255E9"/>
    <w:rsid w:val="00426DA0"/>
    <w:rsid w:val="00430CF8"/>
    <w:rsid w:val="00430D8D"/>
    <w:rsid w:val="00431A91"/>
    <w:rsid w:val="00434024"/>
    <w:rsid w:val="0043414A"/>
    <w:rsid w:val="004344DC"/>
    <w:rsid w:val="00435076"/>
    <w:rsid w:val="00435CC6"/>
    <w:rsid w:val="0043764E"/>
    <w:rsid w:val="00440568"/>
    <w:rsid w:val="004408C0"/>
    <w:rsid w:val="0044102C"/>
    <w:rsid w:val="00441397"/>
    <w:rsid w:val="004419F8"/>
    <w:rsid w:val="0044331A"/>
    <w:rsid w:val="00445414"/>
    <w:rsid w:val="00446AE6"/>
    <w:rsid w:val="004472B1"/>
    <w:rsid w:val="00447913"/>
    <w:rsid w:val="00447DB0"/>
    <w:rsid w:val="00450DE7"/>
    <w:rsid w:val="00450EFD"/>
    <w:rsid w:val="00451A11"/>
    <w:rsid w:val="00451F34"/>
    <w:rsid w:val="00453A60"/>
    <w:rsid w:val="0045475E"/>
    <w:rsid w:val="00455CB5"/>
    <w:rsid w:val="00457378"/>
    <w:rsid w:val="004618CE"/>
    <w:rsid w:val="00462363"/>
    <w:rsid w:val="004625C2"/>
    <w:rsid w:val="004629C2"/>
    <w:rsid w:val="00463968"/>
    <w:rsid w:val="00463F71"/>
    <w:rsid w:val="00465DE2"/>
    <w:rsid w:val="00467D75"/>
    <w:rsid w:val="00467DB2"/>
    <w:rsid w:val="0047001A"/>
    <w:rsid w:val="00470E77"/>
    <w:rsid w:val="00471539"/>
    <w:rsid w:val="0047201F"/>
    <w:rsid w:val="0047243B"/>
    <w:rsid w:val="00472AD5"/>
    <w:rsid w:val="00472ECF"/>
    <w:rsid w:val="0047312E"/>
    <w:rsid w:val="0047315C"/>
    <w:rsid w:val="0047378E"/>
    <w:rsid w:val="00473E20"/>
    <w:rsid w:val="00474ED6"/>
    <w:rsid w:val="00475754"/>
    <w:rsid w:val="0047580A"/>
    <w:rsid w:val="004758BE"/>
    <w:rsid w:val="00475D63"/>
    <w:rsid w:val="00477262"/>
    <w:rsid w:val="004809C2"/>
    <w:rsid w:val="00481AA1"/>
    <w:rsid w:val="00481ECC"/>
    <w:rsid w:val="00483654"/>
    <w:rsid w:val="004836F7"/>
    <w:rsid w:val="00484512"/>
    <w:rsid w:val="00484D17"/>
    <w:rsid w:val="00486946"/>
    <w:rsid w:val="00491C20"/>
    <w:rsid w:val="0049395F"/>
    <w:rsid w:val="0049406D"/>
    <w:rsid w:val="00494CCA"/>
    <w:rsid w:val="004A2F28"/>
    <w:rsid w:val="004A334A"/>
    <w:rsid w:val="004A379D"/>
    <w:rsid w:val="004A4267"/>
    <w:rsid w:val="004A5611"/>
    <w:rsid w:val="004A5733"/>
    <w:rsid w:val="004A673F"/>
    <w:rsid w:val="004A7020"/>
    <w:rsid w:val="004A74F6"/>
    <w:rsid w:val="004A76C5"/>
    <w:rsid w:val="004A79FC"/>
    <w:rsid w:val="004B0207"/>
    <w:rsid w:val="004B1306"/>
    <w:rsid w:val="004B1C54"/>
    <w:rsid w:val="004B297E"/>
    <w:rsid w:val="004B37AD"/>
    <w:rsid w:val="004B3CB0"/>
    <w:rsid w:val="004B5F9E"/>
    <w:rsid w:val="004B6CB5"/>
    <w:rsid w:val="004B6FB3"/>
    <w:rsid w:val="004B72DB"/>
    <w:rsid w:val="004C0027"/>
    <w:rsid w:val="004C161A"/>
    <w:rsid w:val="004C1A92"/>
    <w:rsid w:val="004C2B50"/>
    <w:rsid w:val="004C364A"/>
    <w:rsid w:val="004C3717"/>
    <w:rsid w:val="004C5CBD"/>
    <w:rsid w:val="004C5D20"/>
    <w:rsid w:val="004C6359"/>
    <w:rsid w:val="004C6437"/>
    <w:rsid w:val="004C693D"/>
    <w:rsid w:val="004C7677"/>
    <w:rsid w:val="004D03E9"/>
    <w:rsid w:val="004D06FB"/>
    <w:rsid w:val="004D1545"/>
    <w:rsid w:val="004D1D65"/>
    <w:rsid w:val="004D20FA"/>
    <w:rsid w:val="004D21C1"/>
    <w:rsid w:val="004D29EA"/>
    <w:rsid w:val="004D314A"/>
    <w:rsid w:val="004D3160"/>
    <w:rsid w:val="004D3647"/>
    <w:rsid w:val="004D565F"/>
    <w:rsid w:val="004D6C28"/>
    <w:rsid w:val="004D7946"/>
    <w:rsid w:val="004E0F11"/>
    <w:rsid w:val="004E1817"/>
    <w:rsid w:val="004E32AF"/>
    <w:rsid w:val="004E4342"/>
    <w:rsid w:val="004E4A15"/>
    <w:rsid w:val="004E4CAB"/>
    <w:rsid w:val="004E77E8"/>
    <w:rsid w:val="004F0F01"/>
    <w:rsid w:val="004F123F"/>
    <w:rsid w:val="004F193A"/>
    <w:rsid w:val="004F21D5"/>
    <w:rsid w:val="004F3DFE"/>
    <w:rsid w:val="004F472C"/>
    <w:rsid w:val="004F4A60"/>
    <w:rsid w:val="004F5061"/>
    <w:rsid w:val="004F542B"/>
    <w:rsid w:val="00500010"/>
    <w:rsid w:val="00501200"/>
    <w:rsid w:val="005012B7"/>
    <w:rsid w:val="005039E1"/>
    <w:rsid w:val="005042C2"/>
    <w:rsid w:val="00504340"/>
    <w:rsid w:val="005044ED"/>
    <w:rsid w:val="00504607"/>
    <w:rsid w:val="00504B79"/>
    <w:rsid w:val="00504E5A"/>
    <w:rsid w:val="0050513E"/>
    <w:rsid w:val="00505383"/>
    <w:rsid w:val="00505B67"/>
    <w:rsid w:val="00506C8F"/>
    <w:rsid w:val="00507625"/>
    <w:rsid w:val="00510124"/>
    <w:rsid w:val="005108BE"/>
    <w:rsid w:val="00512881"/>
    <w:rsid w:val="005130F6"/>
    <w:rsid w:val="005135D3"/>
    <w:rsid w:val="00513B0C"/>
    <w:rsid w:val="00513C16"/>
    <w:rsid w:val="0051585A"/>
    <w:rsid w:val="00517954"/>
    <w:rsid w:val="00520A64"/>
    <w:rsid w:val="0052171E"/>
    <w:rsid w:val="00522702"/>
    <w:rsid w:val="0052572B"/>
    <w:rsid w:val="00525C1B"/>
    <w:rsid w:val="00526D06"/>
    <w:rsid w:val="0053469B"/>
    <w:rsid w:val="00534878"/>
    <w:rsid w:val="00534E2A"/>
    <w:rsid w:val="00534E3D"/>
    <w:rsid w:val="005354B5"/>
    <w:rsid w:val="00536048"/>
    <w:rsid w:val="005363A4"/>
    <w:rsid w:val="00536878"/>
    <w:rsid w:val="005401DB"/>
    <w:rsid w:val="00541DE0"/>
    <w:rsid w:val="00542D84"/>
    <w:rsid w:val="00543265"/>
    <w:rsid w:val="005436AF"/>
    <w:rsid w:val="00544D12"/>
    <w:rsid w:val="00544DC2"/>
    <w:rsid w:val="00545353"/>
    <w:rsid w:val="0054587B"/>
    <w:rsid w:val="005527FA"/>
    <w:rsid w:val="00552820"/>
    <w:rsid w:val="00552964"/>
    <w:rsid w:val="00552D54"/>
    <w:rsid w:val="00553C22"/>
    <w:rsid w:val="00554BB9"/>
    <w:rsid w:val="00555556"/>
    <w:rsid w:val="0055706D"/>
    <w:rsid w:val="00557C42"/>
    <w:rsid w:val="005602D7"/>
    <w:rsid w:val="00560354"/>
    <w:rsid w:val="00560A22"/>
    <w:rsid w:val="00562DF2"/>
    <w:rsid w:val="00564BBD"/>
    <w:rsid w:val="005675B0"/>
    <w:rsid w:val="00570886"/>
    <w:rsid w:val="00570BBB"/>
    <w:rsid w:val="00570BD1"/>
    <w:rsid w:val="00570EBC"/>
    <w:rsid w:val="005735D8"/>
    <w:rsid w:val="0057366A"/>
    <w:rsid w:val="00574CB2"/>
    <w:rsid w:val="00575647"/>
    <w:rsid w:val="0057699D"/>
    <w:rsid w:val="00577A7F"/>
    <w:rsid w:val="00577CD6"/>
    <w:rsid w:val="00577EF2"/>
    <w:rsid w:val="00580262"/>
    <w:rsid w:val="00583822"/>
    <w:rsid w:val="00585AC7"/>
    <w:rsid w:val="00585C2A"/>
    <w:rsid w:val="00586782"/>
    <w:rsid w:val="00586938"/>
    <w:rsid w:val="00586BCE"/>
    <w:rsid w:val="00592A07"/>
    <w:rsid w:val="00592F87"/>
    <w:rsid w:val="005934EE"/>
    <w:rsid w:val="0059472D"/>
    <w:rsid w:val="00594974"/>
    <w:rsid w:val="00594A70"/>
    <w:rsid w:val="00594AC9"/>
    <w:rsid w:val="00595FAA"/>
    <w:rsid w:val="00596074"/>
    <w:rsid w:val="00596C9A"/>
    <w:rsid w:val="00597636"/>
    <w:rsid w:val="005A01C5"/>
    <w:rsid w:val="005A1A45"/>
    <w:rsid w:val="005A2E6B"/>
    <w:rsid w:val="005A3179"/>
    <w:rsid w:val="005A3414"/>
    <w:rsid w:val="005A3C9B"/>
    <w:rsid w:val="005A47A4"/>
    <w:rsid w:val="005A4F3A"/>
    <w:rsid w:val="005A556F"/>
    <w:rsid w:val="005A5D64"/>
    <w:rsid w:val="005A685A"/>
    <w:rsid w:val="005A7399"/>
    <w:rsid w:val="005A73C5"/>
    <w:rsid w:val="005A7762"/>
    <w:rsid w:val="005B0E85"/>
    <w:rsid w:val="005B0F9F"/>
    <w:rsid w:val="005B165B"/>
    <w:rsid w:val="005B2024"/>
    <w:rsid w:val="005B296A"/>
    <w:rsid w:val="005B3911"/>
    <w:rsid w:val="005B4EDE"/>
    <w:rsid w:val="005B532B"/>
    <w:rsid w:val="005B6208"/>
    <w:rsid w:val="005C0A71"/>
    <w:rsid w:val="005C4738"/>
    <w:rsid w:val="005C47D5"/>
    <w:rsid w:val="005C4E8C"/>
    <w:rsid w:val="005C4FC2"/>
    <w:rsid w:val="005C53F2"/>
    <w:rsid w:val="005C57AB"/>
    <w:rsid w:val="005C7B83"/>
    <w:rsid w:val="005C7C09"/>
    <w:rsid w:val="005D0271"/>
    <w:rsid w:val="005D03B7"/>
    <w:rsid w:val="005D11CF"/>
    <w:rsid w:val="005D236B"/>
    <w:rsid w:val="005D3CED"/>
    <w:rsid w:val="005D3F27"/>
    <w:rsid w:val="005D61FC"/>
    <w:rsid w:val="005D71D7"/>
    <w:rsid w:val="005E2174"/>
    <w:rsid w:val="005E448C"/>
    <w:rsid w:val="005E4926"/>
    <w:rsid w:val="005E64C5"/>
    <w:rsid w:val="005E72D0"/>
    <w:rsid w:val="005E7D9F"/>
    <w:rsid w:val="005F00D0"/>
    <w:rsid w:val="005F2537"/>
    <w:rsid w:val="005F3217"/>
    <w:rsid w:val="005F396D"/>
    <w:rsid w:val="005F3D37"/>
    <w:rsid w:val="005F5354"/>
    <w:rsid w:val="005F6F38"/>
    <w:rsid w:val="005F7463"/>
    <w:rsid w:val="006006B3"/>
    <w:rsid w:val="0060123E"/>
    <w:rsid w:val="0060494A"/>
    <w:rsid w:val="00606008"/>
    <w:rsid w:val="006077E0"/>
    <w:rsid w:val="00607DDC"/>
    <w:rsid w:val="006102B9"/>
    <w:rsid w:val="006111BE"/>
    <w:rsid w:val="0061291D"/>
    <w:rsid w:val="00613302"/>
    <w:rsid w:val="00614149"/>
    <w:rsid w:val="00614C2F"/>
    <w:rsid w:val="00614DBC"/>
    <w:rsid w:val="006152CB"/>
    <w:rsid w:val="00615B1B"/>
    <w:rsid w:val="006162B0"/>
    <w:rsid w:val="0061673A"/>
    <w:rsid w:val="00616751"/>
    <w:rsid w:val="00616832"/>
    <w:rsid w:val="0061768C"/>
    <w:rsid w:val="006206F2"/>
    <w:rsid w:val="00623921"/>
    <w:rsid w:val="00623DDD"/>
    <w:rsid w:val="0062439C"/>
    <w:rsid w:val="0062503C"/>
    <w:rsid w:val="00625923"/>
    <w:rsid w:val="00626119"/>
    <w:rsid w:val="00627A2C"/>
    <w:rsid w:val="0063470D"/>
    <w:rsid w:val="00635584"/>
    <w:rsid w:val="00635C4E"/>
    <w:rsid w:val="006369C2"/>
    <w:rsid w:val="006409C6"/>
    <w:rsid w:val="00641351"/>
    <w:rsid w:val="0064186A"/>
    <w:rsid w:val="00642014"/>
    <w:rsid w:val="006439D8"/>
    <w:rsid w:val="00644D1D"/>
    <w:rsid w:val="00644EFE"/>
    <w:rsid w:val="006454D8"/>
    <w:rsid w:val="006458E6"/>
    <w:rsid w:val="00646853"/>
    <w:rsid w:val="0064771B"/>
    <w:rsid w:val="00650587"/>
    <w:rsid w:val="006509D7"/>
    <w:rsid w:val="00651173"/>
    <w:rsid w:val="00651FF2"/>
    <w:rsid w:val="00652C32"/>
    <w:rsid w:val="00654AA6"/>
    <w:rsid w:val="006556DB"/>
    <w:rsid w:val="00655E58"/>
    <w:rsid w:val="00656D6F"/>
    <w:rsid w:val="00657165"/>
    <w:rsid w:val="00657F2D"/>
    <w:rsid w:val="00660C39"/>
    <w:rsid w:val="006621FD"/>
    <w:rsid w:val="00662421"/>
    <w:rsid w:val="00663463"/>
    <w:rsid w:val="00663FD1"/>
    <w:rsid w:val="006644BE"/>
    <w:rsid w:val="00664C2C"/>
    <w:rsid w:val="0066513D"/>
    <w:rsid w:val="00665E3E"/>
    <w:rsid w:val="0066617D"/>
    <w:rsid w:val="00667855"/>
    <w:rsid w:val="00667DA5"/>
    <w:rsid w:val="006708E5"/>
    <w:rsid w:val="00671543"/>
    <w:rsid w:val="006716CA"/>
    <w:rsid w:val="006735AA"/>
    <w:rsid w:val="00673AAC"/>
    <w:rsid w:val="00673F69"/>
    <w:rsid w:val="00675C5A"/>
    <w:rsid w:val="00677975"/>
    <w:rsid w:val="00677A5C"/>
    <w:rsid w:val="0068042A"/>
    <w:rsid w:val="006807EC"/>
    <w:rsid w:val="00680EBC"/>
    <w:rsid w:val="006811C2"/>
    <w:rsid w:val="006813D8"/>
    <w:rsid w:val="00681CDF"/>
    <w:rsid w:val="00681FC1"/>
    <w:rsid w:val="00682262"/>
    <w:rsid w:val="00682368"/>
    <w:rsid w:val="006851CD"/>
    <w:rsid w:val="00686125"/>
    <w:rsid w:val="00690A38"/>
    <w:rsid w:val="0069171D"/>
    <w:rsid w:val="00691E0F"/>
    <w:rsid w:val="0069341E"/>
    <w:rsid w:val="00693679"/>
    <w:rsid w:val="006963C2"/>
    <w:rsid w:val="00696DC4"/>
    <w:rsid w:val="0069747A"/>
    <w:rsid w:val="00697888"/>
    <w:rsid w:val="006A1439"/>
    <w:rsid w:val="006A55FE"/>
    <w:rsid w:val="006A635C"/>
    <w:rsid w:val="006A658D"/>
    <w:rsid w:val="006B0051"/>
    <w:rsid w:val="006B00B7"/>
    <w:rsid w:val="006B107E"/>
    <w:rsid w:val="006B2340"/>
    <w:rsid w:val="006B2B33"/>
    <w:rsid w:val="006B38E6"/>
    <w:rsid w:val="006B5660"/>
    <w:rsid w:val="006B57BE"/>
    <w:rsid w:val="006B7461"/>
    <w:rsid w:val="006B7EA2"/>
    <w:rsid w:val="006C2053"/>
    <w:rsid w:val="006C237C"/>
    <w:rsid w:val="006C2CF4"/>
    <w:rsid w:val="006C3278"/>
    <w:rsid w:val="006C4E87"/>
    <w:rsid w:val="006C58D7"/>
    <w:rsid w:val="006C6E76"/>
    <w:rsid w:val="006C7BE6"/>
    <w:rsid w:val="006D0701"/>
    <w:rsid w:val="006D4438"/>
    <w:rsid w:val="006D44CE"/>
    <w:rsid w:val="006D4E1A"/>
    <w:rsid w:val="006D72EF"/>
    <w:rsid w:val="006D7533"/>
    <w:rsid w:val="006D75AE"/>
    <w:rsid w:val="006E0B40"/>
    <w:rsid w:val="006E0DA3"/>
    <w:rsid w:val="006E0FB5"/>
    <w:rsid w:val="006E1932"/>
    <w:rsid w:val="006E2D59"/>
    <w:rsid w:val="006E4BDE"/>
    <w:rsid w:val="006E6755"/>
    <w:rsid w:val="006E701E"/>
    <w:rsid w:val="006E761C"/>
    <w:rsid w:val="006E7A8B"/>
    <w:rsid w:val="006F0A07"/>
    <w:rsid w:val="006F2470"/>
    <w:rsid w:val="006F2972"/>
    <w:rsid w:val="006F2AF2"/>
    <w:rsid w:val="006F418F"/>
    <w:rsid w:val="006F4CBF"/>
    <w:rsid w:val="006F582D"/>
    <w:rsid w:val="006F7BB7"/>
    <w:rsid w:val="0070004F"/>
    <w:rsid w:val="00700477"/>
    <w:rsid w:val="0070088D"/>
    <w:rsid w:val="00700CB3"/>
    <w:rsid w:val="007016D1"/>
    <w:rsid w:val="00701C3D"/>
    <w:rsid w:val="007020E4"/>
    <w:rsid w:val="00703412"/>
    <w:rsid w:val="00703A25"/>
    <w:rsid w:val="0070563C"/>
    <w:rsid w:val="00705A49"/>
    <w:rsid w:val="00706017"/>
    <w:rsid w:val="00706556"/>
    <w:rsid w:val="007067FB"/>
    <w:rsid w:val="00706A83"/>
    <w:rsid w:val="00706C26"/>
    <w:rsid w:val="00710B77"/>
    <w:rsid w:val="00710EF1"/>
    <w:rsid w:val="0071176D"/>
    <w:rsid w:val="007128B1"/>
    <w:rsid w:val="00714446"/>
    <w:rsid w:val="00714502"/>
    <w:rsid w:val="00715542"/>
    <w:rsid w:val="007168CF"/>
    <w:rsid w:val="00716BAE"/>
    <w:rsid w:val="00721244"/>
    <w:rsid w:val="007220C2"/>
    <w:rsid w:val="00722C67"/>
    <w:rsid w:val="0072328A"/>
    <w:rsid w:val="00723292"/>
    <w:rsid w:val="007236B7"/>
    <w:rsid w:val="007250C9"/>
    <w:rsid w:val="00725728"/>
    <w:rsid w:val="00726553"/>
    <w:rsid w:val="00727B3C"/>
    <w:rsid w:val="00730C57"/>
    <w:rsid w:val="00730D3A"/>
    <w:rsid w:val="0073252F"/>
    <w:rsid w:val="00732AD8"/>
    <w:rsid w:val="007335E1"/>
    <w:rsid w:val="00733B25"/>
    <w:rsid w:val="007359B0"/>
    <w:rsid w:val="0073660A"/>
    <w:rsid w:val="00736ACE"/>
    <w:rsid w:val="00737CAF"/>
    <w:rsid w:val="00737DC2"/>
    <w:rsid w:val="007445EE"/>
    <w:rsid w:val="007454F9"/>
    <w:rsid w:val="00747810"/>
    <w:rsid w:val="00750F31"/>
    <w:rsid w:val="0075221A"/>
    <w:rsid w:val="00753BBC"/>
    <w:rsid w:val="00753F47"/>
    <w:rsid w:val="0075429F"/>
    <w:rsid w:val="0075462A"/>
    <w:rsid w:val="007551C2"/>
    <w:rsid w:val="00755D66"/>
    <w:rsid w:val="0075655C"/>
    <w:rsid w:val="00756991"/>
    <w:rsid w:val="00756C48"/>
    <w:rsid w:val="00757167"/>
    <w:rsid w:val="007576B9"/>
    <w:rsid w:val="007638A2"/>
    <w:rsid w:val="007641BB"/>
    <w:rsid w:val="007654C7"/>
    <w:rsid w:val="00770EFC"/>
    <w:rsid w:val="00771514"/>
    <w:rsid w:val="007758E4"/>
    <w:rsid w:val="0077636A"/>
    <w:rsid w:val="00780026"/>
    <w:rsid w:val="00780439"/>
    <w:rsid w:val="00780F73"/>
    <w:rsid w:val="00782BA8"/>
    <w:rsid w:val="00783C6D"/>
    <w:rsid w:val="0078451F"/>
    <w:rsid w:val="007855D2"/>
    <w:rsid w:val="00786223"/>
    <w:rsid w:val="007867A2"/>
    <w:rsid w:val="007914D3"/>
    <w:rsid w:val="00791969"/>
    <w:rsid w:val="00791B3C"/>
    <w:rsid w:val="00792340"/>
    <w:rsid w:val="0079349E"/>
    <w:rsid w:val="007941A6"/>
    <w:rsid w:val="007A0883"/>
    <w:rsid w:val="007A096B"/>
    <w:rsid w:val="007A1C38"/>
    <w:rsid w:val="007A3B92"/>
    <w:rsid w:val="007A4F80"/>
    <w:rsid w:val="007A7EA6"/>
    <w:rsid w:val="007B0771"/>
    <w:rsid w:val="007B16A1"/>
    <w:rsid w:val="007B1D73"/>
    <w:rsid w:val="007B264D"/>
    <w:rsid w:val="007B310F"/>
    <w:rsid w:val="007B414B"/>
    <w:rsid w:val="007B46F0"/>
    <w:rsid w:val="007B57D8"/>
    <w:rsid w:val="007B6752"/>
    <w:rsid w:val="007B7CCD"/>
    <w:rsid w:val="007C092D"/>
    <w:rsid w:val="007C0D6D"/>
    <w:rsid w:val="007C1443"/>
    <w:rsid w:val="007C18C7"/>
    <w:rsid w:val="007C1D71"/>
    <w:rsid w:val="007C242E"/>
    <w:rsid w:val="007C2ED7"/>
    <w:rsid w:val="007C2F34"/>
    <w:rsid w:val="007C3971"/>
    <w:rsid w:val="007C4231"/>
    <w:rsid w:val="007C59A8"/>
    <w:rsid w:val="007C5C8A"/>
    <w:rsid w:val="007C6AD5"/>
    <w:rsid w:val="007C78F3"/>
    <w:rsid w:val="007D05F1"/>
    <w:rsid w:val="007D0D7E"/>
    <w:rsid w:val="007D36FB"/>
    <w:rsid w:val="007D4AAE"/>
    <w:rsid w:val="007D68E4"/>
    <w:rsid w:val="007E008B"/>
    <w:rsid w:val="007E03F4"/>
    <w:rsid w:val="007E0A69"/>
    <w:rsid w:val="007E10A7"/>
    <w:rsid w:val="007E12F7"/>
    <w:rsid w:val="007E1B51"/>
    <w:rsid w:val="007E1BED"/>
    <w:rsid w:val="007E2558"/>
    <w:rsid w:val="007E30F1"/>
    <w:rsid w:val="007E3504"/>
    <w:rsid w:val="007E4449"/>
    <w:rsid w:val="007E46BB"/>
    <w:rsid w:val="007E5F48"/>
    <w:rsid w:val="007E67AF"/>
    <w:rsid w:val="007E6C39"/>
    <w:rsid w:val="007E761C"/>
    <w:rsid w:val="007E7AC4"/>
    <w:rsid w:val="007F0B6F"/>
    <w:rsid w:val="007F1231"/>
    <w:rsid w:val="007F1B82"/>
    <w:rsid w:val="007F25E2"/>
    <w:rsid w:val="007F2ADD"/>
    <w:rsid w:val="007F396A"/>
    <w:rsid w:val="007F4045"/>
    <w:rsid w:val="007F5234"/>
    <w:rsid w:val="0080172E"/>
    <w:rsid w:val="008029F5"/>
    <w:rsid w:val="00804569"/>
    <w:rsid w:val="0080513F"/>
    <w:rsid w:val="008079EA"/>
    <w:rsid w:val="00810180"/>
    <w:rsid w:val="00810984"/>
    <w:rsid w:val="00811AF3"/>
    <w:rsid w:val="00811CEC"/>
    <w:rsid w:val="00813684"/>
    <w:rsid w:val="00813C05"/>
    <w:rsid w:val="00813D0C"/>
    <w:rsid w:val="00815A60"/>
    <w:rsid w:val="00816217"/>
    <w:rsid w:val="008164DB"/>
    <w:rsid w:val="00816EB1"/>
    <w:rsid w:val="0082457C"/>
    <w:rsid w:val="00825678"/>
    <w:rsid w:val="00825895"/>
    <w:rsid w:val="00826CAA"/>
    <w:rsid w:val="00826EEB"/>
    <w:rsid w:val="008306BA"/>
    <w:rsid w:val="00830719"/>
    <w:rsid w:val="00830C43"/>
    <w:rsid w:val="008311D0"/>
    <w:rsid w:val="00831831"/>
    <w:rsid w:val="00831E8E"/>
    <w:rsid w:val="00832BF6"/>
    <w:rsid w:val="0083345F"/>
    <w:rsid w:val="00835698"/>
    <w:rsid w:val="00836443"/>
    <w:rsid w:val="00837E18"/>
    <w:rsid w:val="00841719"/>
    <w:rsid w:val="0084289D"/>
    <w:rsid w:val="008430CD"/>
    <w:rsid w:val="0084370A"/>
    <w:rsid w:val="0085076B"/>
    <w:rsid w:val="00850866"/>
    <w:rsid w:val="00850F09"/>
    <w:rsid w:val="00851090"/>
    <w:rsid w:val="0085318E"/>
    <w:rsid w:val="00854ACC"/>
    <w:rsid w:val="008571D6"/>
    <w:rsid w:val="0085764D"/>
    <w:rsid w:val="00862AA1"/>
    <w:rsid w:val="0086412E"/>
    <w:rsid w:val="00866456"/>
    <w:rsid w:val="008705E1"/>
    <w:rsid w:val="00870894"/>
    <w:rsid w:val="008719F4"/>
    <w:rsid w:val="008735C0"/>
    <w:rsid w:val="00873955"/>
    <w:rsid w:val="008749DE"/>
    <w:rsid w:val="0087535C"/>
    <w:rsid w:val="00875B4B"/>
    <w:rsid w:val="008764BE"/>
    <w:rsid w:val="0088051A"/>
    <w:rsid w:val="00880E01"/>
    <w:rsid w:val="008816CB"/>
    <w:rsid w:val="008822AC"/>
    <w:rsid w:val="00884364"/>
    <w:rsid w:val="008844DF"/>
    <w:rsid w:val="00884E54"/>
    <w:rsid w:val="00890477"/>
    <w:rsid w:val="0089249B"/>
    <w:rsid w:val="00893415"/>
    <w:rsid w:val="0089512E"/>
    <w:rsid w:val="008954E0"/>
    <w:rsid w:val="0089557B"/>
    <w:rsid w:val="00895727"/>
    <w:rsid w:val="008960A1"/>
    <w:rsid w:val="0089696C"/>
    <w:rsid w:val="00897546"/>
    <w:rsid w:val="008A05FD"/>
    <w:rsid w:val="008A134F"/>
    <w:rsid w:val="008A18F9"/>
    <w:rsid w:val="008A1E12"/>
    <w:rsid w:val="008A2E6D"/>
    <w:rsid w:val="008A6013"/>
    <w:rsid w:val="008A6033"/>
    <w:rsid w:val="008A6586"/>
    <w:rsid w:val="008A6EF7"/>
    <w:rsid w:val="008A795D"/>
    <w:rsid w:val="008A7AF8"/>
    <w:rsid w:val="008A7CD7"/>
    <w:rsid w:val="008A7DA4"/>
    <w:rsid w:val="008B005C"/>
    <w:rsid w:val="008B0E97"/>
    <w:rsid w:val="008B2B2F"/>
    <w:rsid w:val="008B32A4"/>
    <w:rsid w:val="008B3EBD"/>
    <w:rsid w:val="008B4F36"/>
    <w:rsid w:val="008B54BB"/>
    <w:rsid w:val="008B561F"/>
    <w:rsid w:val="008B602C"/>
    <w:rsid w:val="008B76A2"/>
    <w:rsid w:val="008C1F96"/>
    <w:rsid w:val="008C2BD9"/>
    <w:rsid w:val="008C4013"/>
    <w:rsid w:val="008C421D"/>
    <w:rsid w:val="008C59CD"/>
    <w:rsid w:val="008C6043"/>
    <w:rsid w:val="008C7796"/>
    <w:rsid w:val="008D0089"/>
    <w:rsid w:val="008D0F5E"/>
    <w:rsid w:val="008D1035"/>
    <w:rsid w:val="008D2C07"/>
    <w:rsid w:val="008D4930"/>
    <w:rsid w:val="008D6880"/>
    <w:rsid w:val="008D7534"/>
    <w:rsid w:val="008D7843"/>
    <w:rsid w:val="008D7E23"/>
    <w:rsid w:val="008E09F7"/>
    <w:rsid w:val="008E1149"/>
    <w:rsid w:val="008E1DCD"/>
    <w:rsid w:val="008E2684"/>
    <w:rsid w:val="008E4776"/>
    <w:rsid w:val="008E4FF1"/>
    <w:rsid w:val="008E60C9"/>
    <w:rsid w:val="008F3478"/>
    <w:rsid w:val="008F483C"/>
    <w:rsid w:val="008F53B5"/>
    <w:rsid w:val="008F65F6"/>
    <w:rsid w:val="008F684B"/>
    <w:rsid w:val="00900B97"/>
    <w:rsid w:val="00901217"/>
    <w:rsid w:val="009012A3"/>
    <w:rsid w:val="009013E5"/>
    <w:rsid w:val="00901835"/>
    <w:rsid w:val="00901EBE"/>
    <w:rsid w:val="00902051"/>
    <w:rsid w:val="00902E1E"/>
    <w:rsid w:val="00904544"/>
    <w:rsid w:val="00904B2E"/>
    <w:rsid w:val="00905301"/>
    <w:rsid w:val="00910748"/>
    <w:rsid w:val="0091104A"/>
    <w:rsid w:val="00911E9E"/>
    <w:rsid w:val="009154FC"/>
    <w:rsid w:val="009168F5"/>
    <w:rsid w:val="00920A81"/>
    <w:rsid w:val="00923A96"/>
    <w:rsid w:val="00924E27"/>
    <w:rsid w:val="00925C39"/>
    <w:rsid w:val="00927A11"/>
    <w:rsid w:val="00931F7A"/>
    <w:rsid w:val="0093277A"/>
    <w:rsid w:val="00933123"/>
    <w:rsid w:val="0093500F"/>
    <w:rsid w:val="00935051"/>
    <w:rsid w:val="009350D7"/>
    <w:rsid w:val="0093559A"/>
    <w:rsid w:val="00935C5E"/>
    <w:rsid w:val="00935C7E"/>
    <w:rsid w:val="009363C8"/>
    <w:rsid w:val="00942671"/>
    <w:rsid w:val="009439F4"/>
    <w:rsid w:val="009469E9"/>
    <w:rsid w:val="009501BE"/>
    <w:rsid w:val="0095305F"/>
    <w:rsid w:val="009533B1"/>
    <w:rsid w:val="009554A7"/>
    <w:rsid w:val="00955BBA"/>
    <w:rsid w:val="00956BAF"/>
    <w:rsid w:val="0095725A"/>
    <w:rsid w:val="00960B1C"/>
    <w:rsid w:val="00961433"/>
    <w:rsid w:val="00962679"/>
    <w:rsid w:val="00962C9B"/>
    <w:rsid w:val="00964E3D"/>
    <w:rsid w:val="00965100"/>
    <w:rsid w:val="009665E9"/>
    <w:rsid w:val="0096673E"/>
    <w:rsid w:val="00967C68"/>
    <w:rsid w:val="00970320"/>
    <w:rsid w:val="00971865"/>
    <w:rsid w:val="00971D79"/>
    <w:rsid w:val="009727AF"/>
    <w:rsid w:val="009736E7"/>
    <w:rsid w:val="009743F1"/>
    <w:rsid w:val="00974531"/>
    <w:rsid w:val="00974D2D"/>
    <w:rsid w:val="00974D9E"/>
    <w:rsid w:val="0097575E"/>
    <w:rsid w:val="00976FD9"/>
    <w:rsid w:val="00980F9C"/>
    <w:rsid w:val="00981B9F"/>
    <w:rsid w:val="00982CDB"/>
    <w:rsid w:val="00982E36"/>
    <w:rsid w:val="009831BD"/>
    <w:rsid w:val="0098369B"/>
    <w:rsid w:val="009836C8"/>
    <w:rsid w:val="00985AD3"/>
    <w:rsid w:val="009865C3"/>
    <w:rsid w:val="0098669C"/>
    <w:rsid w:val="009875CC"/>
    <w:rsid w:val="00991061"/>
    <w:rsid w:val="0099156E"/>
    <w:rsid w:val="009917EC"/>
    <w:rsid w:val="00992525"/>
    <w:rsid w:val="00993395"/>
    <w:rsid w:val="00993617"/>
    <w:rsid w:val="0099490B"/>
    <w:rsid w:val="00994952"/>
    <w:rsid w:val="00994CFB"/>
    <w:rsid w:val="009952E6"/>
    <w:rsid w:val="009970B4"/>
    <w:rsid w:val="00997885"/>
    <w:rsid w:val="009A02AC"/>
    <w:rsid w:val="009A19A6"/>
    <w:rsid w:val="009A1DA4"/>
    <w:rsid w:val="009A1F30"/>
    <w:rsid w:val="009A43AF"/>
    <w:rsid w:val="009A54AB"/>
    <w:rsid w:val="009A5A85"/>
    <w:rsid w:val="009A620B"/>
    <w:rsid w:val="009A6823"/>
    <w:rsid w:val="009A7F71"/>
    <w:rsid w:val="009B01C7"/>
    <w:rsid w:val="009B0FD1"/>
    <w:rsid w:val="009B19F0"/>
    <w:rsid w:val="009B2705"/>
    <w:rsid w:val="009B2AF5"/>
    <w:rsid w:val="009B3C58"/>
    <w:rsid w:val="009B4468"/>
    <w:rsid w:val="009B6426"/>
    <w:rsid w:val="009C1699"/>
    <w:rsid w:val="009C2809"/>
    <w:rsid w:val="009C7034"/>
    <w:rsid w:val="009D1693"/>
    <w:rsid w:val="009D2794"/>
    <w:rsid w:val="009D2E49"/>
    <w:rsid w:val="009D4021"/>
    <w:rsid w:val="009D534D"/>
    <w:rsid w:val="009D7AAD"/>
    <w:rsid w:val="009E00DB"/>
    <w:rsid w:val="009E01E8"/>
    <w:rsid w:val="009E0295"/>
    <w:rsid w:val="009E05E1"/>
    <w:rsid w:val="009E07E2"/>
    <w:rsid w:val="009E25CC"/>
    <w:rsid w:val="009E4A72"/>
    <w:rsid w:val="009E4F0B"/>
    <w:rsid w:val="009E4FF8"/>
    <w:rsid w:val="009E518A"/>
    <w:rsid w:val="009E5FB4"/>
    <w:rsid w:val="009F0F48"/>
    <w:rsid w:val="009F1DA7"/>
    <w:rsid w:val="009F46E0"/>
    <w:rsid w:val="009F47B8"/>
    <w:rsid w:val="009F5645"/>
    <w:rsid w:val="009F6BC0"/>
    <w:rsid w:val="00A0028D"/>
    <w:rsid w:val="00A00C65"/>
    <w:rsid w:val="00A01277"/>
    <w:rsid w:val="00A0153C"/>
    <w:rsid w:val="00A0171D"/>
    <w:rsid w:val="00A035EC"/>
    <w:rsid w:val="00A03996"/>
    <w:rsid w:val="00A040B0"/>
    <w:rsid w:val="00A05C48"/>
    <w:rsid w:val="00A067FE"/>
    <w:rsid w:val="00A07A4D"/>
    <w:rsid w:val="00A07C36"/>
    <w:rsid w:val="00A10863"/>
    <w:rsid w:val="00A1104B"/>
    <w:rsid w:val="00A11C8D"/>
    <w:rsid w:val="00A1218D"/>
    <w:rsid w:val="00A14AD3"/>
    <w:rsid w:val="00A15EA6"/>
    <w:rsid w:val="00A1648E"/>
    <w:rsid w:val="00A21121"/>
    <w:rsid w:val="00A243E2"/>
    <w:rsid w:val="00A25EE5"/>
    <w:rsid w:val="00A26869"/>
    <w:rsid w:val="00A27161"/>
    <w:rsid w:val="00A31906"/>
    <w:rsid w:val="00A31B30"/>
    <w:rsid w:val="00A31F40"/>
    <w:rsid w:val="00A336B3"/>
    <w:rsid w:val="00A349DF"/>
    <w:rsid w:val="00A34C21"/>
    <w:rsid w:val="00A34CE4"/>
    <w:rsid w:val="00A35369"/>
    <w:rsid w:val="00A35602"/>
    <w:rsid w:val="00A35CA1"/>
    <w:rsid w:val="00A36117"/>
    <w:rsid w:val="00A36474"/>
    <w:rsid w:val="00A40483"/>
    <w:rsid w:val="00A40F9B"/>
    <w:rsid w:val="00A41C76"/>
    <w:rsid w:val="00A42FDB"/>
    <w:rsid w:val="00A435D4"/>
    <w:rsid w:val="00A441EF"/>
    <w:rsid w:val="00A442BB"/>
    <w:rsid w:val="00A4467A"/>
    <w:rsid w:val="00A44850"/>
    <w:rsid w:val="00A44CD1"/>
    <w:rsid w:val="00A45EDE"/>
    <w:rsid w:val="00A469EA"/>
    <w:rsid w:val="00A47C12"/>
    <w:rsid w:val="00A50248"/>
    <w:rsid w:val="00A51536"/>
    <w:rsid w:val="00A5157F"/>
    <w:rsid w:val="00A51F7F"/>
    <w:rsid w:val="00A53FFE"/>
    <w:rsid w:val="00A5405C"/>
    <w:rsid w:val="00A54499"/>
    <w:rsid w:val="00A544C3"/>
    <w:rsid w:val="00A54589"/>
    <w:rsid w:val="00A54FF2"/>
    <w:rsid w:val="00A559D8"/>
    <w:rsid w:val="00A56C70"/>
    <w:rsid w:val="00A5705C"/>
    <w:rsid w:val="00A57652"/>
    <w:rsid w:val="00A57741"/>
    <w:rsid w:val="00A60D91"/>
    <w:rsid w:val="00A62020"/>
    <w:rsid w:val="00A62723"/>
    <w:rsid w:val="00A62DD5"/>
    <w:rsid w:val="00A62E05"/>
    <w:rsid w:val="00A63F86"/>
    <w:rsid w:val="00A64D56"/>
    <w:rsid w:val="00A658F4"/>
    <w:rsid w:val="00A678D9"/>
    <w:rsid w:val="00A70261"/>
    <w:rsid w:val="00A7032D"/>
    <w:rsid w:val="00A71ED7"/>
    <w:rsid w:val="00A71F1E"/>
    <w:rsid w:val="00A74048"/>
    <w:rsid w:val="00A74839"/>
    <w:rsid w:val="00A74F2D"/>
    <w:rsid w:val="00A75E4D"/>
    <w:rsid w:val="00A76028"/>
    <w:rsid w:val="00A76D42"/>
    <w:rsid w:val="00A76DCD"/>
    <w:rsid w:val="00A804FB"/>
    <w:rsid w:val="00A8074F"/>
    <w:rsid w:val="00A812E8"/>
    <w:rsid w:val="00A81AE2"/>
    <w:rsid w:val="00A82D74"/>
    <w:rsid w:val="00A834BD"/>
    <w:rsid w:val="00A8413A"/>
    <w:rsid w:val="00A8491B"/>
    <w:rsid w:val="00A84B92"/>
    <w:rsid w:val="00A84E71"/>
    <w:rsid w:val="00A84F32"/>
    <w:rsid w:val="00A855C4"/>
    <w:rsid w:val="00A85C4A"/>
    <w:rsid w:val="00A86ABF"/>
    <w:rsid w:val="00A87410"/>
    <w:rsid w:val="00A87D3C"/>
    <w:rsid w:val="00A90053"/>
    <w:rsid w:val="00A91585"/>
    <w:rsid w:val="00A92122"/>
    <w:rsid w:val="00A93067"/>
    <w:rsid w:val="00A95339"/>
    <w:rsid w:val="00A95A6C"/>
    <w:rsid w:val="00A96ED4"/>
    <w:rsid w:val="00AA0AE4"/>
    <w:rsid w:val="00AA1C06"/>
    <w:rsid w:val="00AA1E1B"/>
    <w:rsid w:val="00AA29B5"/>
    <w:rsid w:val="00AA31F9"/>
    <w:rsid w:val="00AA3423"/>
    <w:rsid w:val="00AA347B"/>
    <w:rsid w:val="00AA5C5D"/>
    <w:rsid w:val="00AA60B0"/>
    <w:rsid w:val="00AA69A6"/>
    <w:rsid w:val="00AA6C8E"/>
    <w:rsid w:val="00AA6E0C"/>
    <w:rsid w:val="00AA7408"/>
    <w:rsid w:val="00AB0B46"/>
    <w:rsid w:val="00AB1B10"/>
    <w:rsid w:val="00AB269D"/>
    <w:rsid w:val="00AB5026"/>
    <w:rsid w:val="00AB5AFF"/>
    <w:rsid w:val="00AB5D97"/>
    <w:rsid w:val="00AB62D1"/>
    <w:rsid w:val="00AC15D1"/>
    <w:rsid w:val="00AC1F00"/>
    <w:rsid w:val="00AC26FA"/>
    <w:rsid w:val="00AC444C"/>
    <w:rsid w:val="00AC52F3"/>
    <w:rsid w:val="00AC532A"/>
    <w:rsid w:val="00AC619B"/>
    <w:rsid w:val="00AC63C7"/>
    <w:rsid w:val="00AC66CA"/>
    <w:rsid w:val="00AC6DDD"/>
    <w:rsid w:val="00AD1141"/>
    <w:rsid w:val="00AD2223"/>
    <w:rsid w:val="00AD2A5A"/>
    <w:rsid w:val="00AD35D8"/>
    <w:rsid w:val="00AD399D"/>
    <w:rsid w:val="00AD6890"/>
    <w:rsid w:val="00AD68E4"/>
    <w:rsid w:val="00AD6B11"/>
    <w:rsid w:val="00AE0160"/>
    <w:rsid w:val="00AE0C94"/>
    <w:rsid w:val="00AE11C3"/>
    <w:rsid w:val="00AE3CAD"/>
    <w:rsid w:val="00AE3EA0"/>
    <w:rsid w:val="00AE4940"/>
    <w:rsid w:val="00AE6E03"/>
    <w:rsid w:val="00AF0A30"/>
    <w:rsid w:val="00AF122B"/>
    <w:rsid w:val="00AF3F8C"/>
    <w:rsid w:val="00AF4EB2"/>
    <w:rsid w:val="00AF5E67"/>
    <w:rsid w:val="00AF5FA9"/>
    <w:rsid w:val="00AF6DCD"/>
    <w:rsid w:val="00B00A52"/>
    <w:rsid w:val="00B01662"/>
    <w:rsid w:val="00B037ED"/>
    <w:rsid w:val="00B04181"/>
    <w:rsid w:val="00B04917"/>
    <w:rsid w:val="00B04B35"/>
    <w:rsid w:val="00B05C29"/>
    <w:rsid w:val="00B06BE2"/>
    <w:rsid w:val="00B06D4F"/>
    <w:rsid w:val="00B10182"/>
    <w:rsid w:val="00B10FA7"/>
    <w:rsid w:val="00B12246"/>
    <w:rsid w:val="00B12894"/>
    <w:rsid w:val="00B13199"/>
    <w:rsid w:val="00B13FBE"/>
    <w:rsid w:val="00B143D7"/>
    <w:rsid w:val="00B14F34"/>
    <w:rsid w:val="00B150AC"/>
    <w:rsid w:val="00B1545C"/>
    <w:rsid w:val="00B15687"/>
    <w:rsid w:val="00B165E9"/>
    <w:rsid w:val="00B200CB"/>
    <w:rsid w:val="00B21E9B"/>
    <w:rsid w:val="00B24392"/>
    <w:rsid w:val="00B2647E"/>
    <w:rsid w:val="00B27391"/>
    <w:rsid w:val="00B273A3"/>
    <w:rsid w:val="00B307D3"/>
    <w:rsid w:val="00B31876"/>
    <w:rsid w:val="00B31C2B"/>
    <w:rsid w:val="00B31D24"/>
    <w:rsid w:val="00B31F34"/>
    <w:rsid w:val="00B32B8F"/>
    <w:rsid w:val="00B33039"/>
    <w:rsid w:val="00B333A1"/>
    <w:rsid w:val="00B344E4"/>
    <w:rsid w:val="00B37C7B"/>
    <w:rsid w:val="00B40494"/>
    <w:rsid w:val="00B416EF"/>
    <w:rsid w:val="00B4225B"/>
    <w:rsid w:val="00B42FEC"/>
    <w:rsid w:val="00B435F2"/>
    <w:rsid w:val="00B4366F"/>
    <w:rsid w:val="00B44108"/>
    <w:rsid w:val="00B4428F"/>
    <w:rsid w:val="00B44357"/>
    <w:rsid w:val="00B46847"/>
    <w:rsid w:val="00B47B3D"/>
    <w:rsid w:val="00B47E0B"/>
    <w:rsid w:val="00B5090B"/>
    <w:rsid w:val="00B51259"/>
    <w:rsid w:val="00B554F1"/>
    <w:rsid w:val="00B612F8"/>
    <w:rsid w:val="00B7194C"/>
    <w:rsid w:val="00B7353F"/>
    <w:rsid w:val="00B73EFF"/>
    <w:rsid w:val="00B73F68"/>
    <w:rsid w:val="00B7412D"/>
    <w:rsid w:val="00B74383"/>
    <w:rsid w:val="00B74405"/>
    <w:rsid w:val="00B74AA1"/>
    <w:rsid w:val="00B74AAB"/>
    <w:rsid w:val="00B74D02"/>
    <w:rsid w:val="00B75391"/>
    <w:rsid w:val="00B759CB"/>
    <w:rsid w:val="00B768D9"/>
    <w:rsid w:val="00B8218A"/>
    <w:rsid w:val="00B833C5"/>
    <w:rsid w:val="00B833CF"/>
    <w:rsid w:val="00B842DD"/>
    <w:rsid w:val="00B84CAD"/>
    <w:rsid w:val="00B866FF"/>
    <w:rsid w:val="00B8744E"/>
    <w:rsid w:val="00B875C0"/>
    <w:rsid w:val="00B87E19"/>
    <w:rsid w:val="00B905CB"/>
    <w:rsid w:val="00B90701"/>
    <w:rsid w:val="00B92CF0"/>
    <w:rsid w:val="00B92F40"/>
    <w:rsid w:val="00B93092"/>
    <w:rsid w:val="00B93176"/>
    <w:rsid w:val="00B93B5B"/>
    <w:rsid w:val="00B94171"/>
    <w:rsid w:val="00B944D4"/>
    <w:rsid w:val="00B95F14"/>
    <w:rsid w:val="00B9669A"/>
    <w:rsid w:val="00B972DF"/>
    <w:rsid w:val="00BA17EA"/>
    <w:rsid w:val="00BA4316"/>
    <w:rsid w:val="00BA49C5"/>
    <w:rsid w:val="00BA4F44"/>
    <w:rsid w:val="00BA53D3"/>
    <w:rsid w:val="00BA704B"/>
    <w:rsid w:val="00BA7D09"/>
    <w:rsid w:val="00BB146F"/>
    <w:rsid w:val="00BB1CC8"/>
    <w:rsid w:val="00BB1DEA"/>
    <w:rsid w:val="00BB37F6"/>
    <w:rsid w:val="00BB44E2"/>
    <w:rsid w:val="00BB5428"/>
    <w:rsid w:val="00BB5E7C"/>
    <w:rsid w:val="00BB66DB"/>
    <w:rsid w:val="00BB7604"/>
    <w:rsid w:val="00BC0306"/>
    <w:rsid w:val="00BC10E3"/>
    <w:rsid w:val="00BC17D1"/>
    <w:rsid w:val="00BC2907"/>
    <w:rsid w:val="00BC2DB7"/>
    <w:rsid w:val="00BC32F0"/>
    <w:rsid w:val="00BC3D3A"/>
    <w:rsid w:val="00BC3D64"/>
    <w:rsid w:val="00BC4235"/>
    <w:rsid w:val="00BC48CD"/>
    <w:rsid w:val="00BC74C7"/>
    <w:rsid w:val="00BD01F4"/>
    <w:rsid w:val="00BD0A57"/>
    <w:rsid w:val="00BD0A7C"/>
    <w:rsid w:val="00BD1EAC"/>
    <w:rsid w:val="00BD24E3"/>
    <w:rsid w:val="00BD25A5"/>
    <w:rsid w:val="00BD2722"/>
    <w:rsid w:val="00BD2AE6"/>
    <w:rsid w:val="00BD31B0"/>
    <w:rsid w:val="00BD4BDE"/>
    <w:rsid w:val="00BD777C"/>
    <w:rsid w:val="00BE06C2"/>
    <w:rsid w:val="00BE14DC"/>
    <w:rsid w:val="00BE18C6"/>
    <w:rsid w:val="00BE192F"/>
    <w:rsid w:val="00BE48A5"/>
    <w:rsid w:val="00BE528F"/>
    <w:rsid w:val="00BE5296"/>
    <w:rsid w:val="00BE5CDC"/>
    <w:rsid w:val="00BE63E8"/>
    <w:rsid w:val="00BE6D28"/>
    <w:rsid w:val="00BE7A6F"/>
    <w:rsid w:val="00BE7D2D"/>
    <w:rsid w:val="00BF2084"/>
    <w:rsid w:val="00BF21D4"/>
    <w:rsid w:val="00BF2337"/>
    <w:rsid w:val="00BF4691"/>
    <w:rsid w:val="00BF4B56"/>
    <w:rsid w:val="00BF5033"/>
    <w:rsid w:val="00BF52B6"/>
    <w:rsid w:val="00BF542B"/>
    <w:rsid w:val="00C03072"/>
    <w:rsid w:val="00C05CC2"/>
    <w:rsid w:val="00C100D1"/>
    <w:rsid w:val="00C1051D"/>
    <w:rsid w:val="00C1152D"/>
    <w:rsid w:val="00C117B1"/>
    <w:rsid w:val="00C1239A"/>
    <w:rsid w:val="00C13303"/>
    <w:rsid w:val="00C14639"/>
    <w:rsid w:val="00C165AD"/>
    <w:rsid w:val="00C16A4B"/>
    <w:rsid w:val="00C16B9E"/>
    <w:rsid w:val="00C17E5C"/>
    <w:rsid w:val="00C21047"/>
    <w:rsid w:val="00C21128"/>
    <w:rsid w:val="00C21EA9"/>
    <w:rsid w:val="00C2221D"/>
    <w:rsid w:val="00C23B82"/>
    <w:rsid w:val="00C25AE9"/>
    <w:rsid w:val="00C30B04"/>
    <w:rsid w:val="00C31F7C"/>
    <w:rsid w:val="00C32EC1"/>
    <w:rsid w:val="00C33548"/>
    <w:rsid w:val="00C35C9C"/>
    <w:rsid w:val="00C40197"/>
    <w:rsid w:val="00C41DFD"/>
    <w:rsid w:val="00C41E96"/>
    <w:rsid w:val="00C43943"/>
    <w:rsid w:val="00C44DC7"/>
    <w:rsid w:val="00C46EAA"/>
    <w:rsid w:val="00C4729E"/>
    <w:rsid w:val="00C50E10"/>
    <w:rsid w:val="00C50F28"/>
    <w:rsid w:val="00C510E4"/>
    <w:rsid w:val="00C55E87"/>
    <w:rsid w:val="00C56FF3"/>
    <w:rsid w:val="00C57744"/>
    <w:rsid w:val="00C57C19"/>
    <w:rsid w:val="00C57C85"/>
    <w:rsid w:val="00C6117E"/>
    <w:rsid w:val="00C62424"/>
    <w:rsid w:val="00C62DDE"/>
    <w:rsid w:val="00C6324F"/>
    <w:rsid w:val="00C63916"/>
    <w:rsid w:val="00C64391"/>
    <w:rsid w:val="00C66320"/>
    <w:rsid w:val="00C6670C"/>
    <w:rsid w:val="00C66748"/>
    <w:rsid w:val="00C668A4"/>
    <w:rsid w:val="00C66D3B"/>
    <w:rsid w:val="00C66F23"/>
    <w:rsid w:val="00C7033A"/>
    <w:rsid w:val="00C70A80"/>
    <w:rsid w:val="00C711B8"/>
    <w:rsid w:val="00C71419"/>
    <w:rsid w:val="00C71EEE"/>
    <w:rsid w:val="00C71F19"/>
    <w:rsid w:val="00C7293D"/>
    <w:rsid w:val="00C72CEA"/>
    <w:rsid w:val="00C749C5"/>
    <w:rsid w:val="00C74C39"/>
    <w:rsid w:val="00C76530"/>
    <w:rsid w:val="00C76DC4"/>
    <w:rsid w:val="00C77808"/>
    <w:rsid w:val="00C7795F"/>
    <w:rsid w:val="00C8048E"/>
    <w:rsid w:val="00C80B3D"/>
    <w:rsid w:val="00C82523"/>
    <w:rsid w:val="00C82662"/>
    <w:rsid w:val="00C82D84"/>
    <w:rsid w:val="00C83669"/>
    <w:rsid w:val="00C83B14"/>
    <w:rsid w:val="00C83C65"/>
    <w:rsid w:val="00C84DF1"/>
    <w:rsid w:val="00C84E9E"/>
    <w:rsid w:val="00C85096"/>
    <w:rsid w:val="00C85C92"/>
    <w:rsid w:val="00C868B5"/>
    <w:rsid w:val="00C91423"/>
    <w:rsid w:val="00C91FD3"/>
    <w:rsid w:val="00C92769"/>
    <w:rsid w:val="00C928A9"/>
    <w:rsid w:val="00C93ACD"/>
    <w:rsid w:val="00C96937"/>
    <w:rsid w:val="00C97CD9"/>
    <w:rsid w:val="00CA2D9A"/>
    <w:rsid w:val="00CA306B"/>
    <w:rsid w:val="00CA367B"/>
    <w:rsid w:val="00CA36DF"/>
    <w:rsid w:val="00CA3F5C"/>
    <w:rsid w:val="00CA4C40"/>
    <w:rsid w:val="00CA5C67"/>
    <w:rsid w:val="00CA5F02"/>
    <w:rsid w:val="00CA7032"/>
    <w:rsid w:val="00CB21ED"/>
    <w:rsid w:val="00CB2595"/>
    <w:rsid w:val="00CB3074"/>
    <w:rsid w:val="00CB38CC"/>
    <w:rsid w:val="00CB3BFB"/>
    <w:rsid w:val="00CB5096"/>
    <w:rsid w:val="00CB64CC"/>
    <w:rsid w:val="00CB6786"/>
    <w:rsid w:val="00CB6A89"/>
    <w:rsid w:val="00CC01A5"/>
    <w:rsid w:val="00CC0AE8"/>
    <w:rsid w:val="00CC0B52"/>
    <w:rsid w:val="00CC2A4E"/>
    <w:rsid w:val="00CC46C0"/>
    <w:rsid w:val="00CC4AD4"/>
    <w:rsid w:val="00CC5203"/>
    <w:rsid w:val="00CC6B6D"/>
    <w:rsid w:val="00CC77AD"/>
    <w:rsid w:val="00CD1B4D"/>
    <w:rsid w:val="00CD1D43"/>
    <w:rsid w:val="00CD2058"/>
    <w:rsid w:val="00CD2A7A"/>
    <w:rsid w:val="00CD3942"/>
    <w:rsid w:val="00CD43E7"/>
    <w:rsid w:val="00CD48B4"/>
    <w:rsid w:val="00CD6166"/>
    <w:rsid w:val="00CD6199"/>
    <w:rsid w:val="00CD6321"/>
    <w:rsid w:val="00CD7D1B"/>
    <w:rsid w:val="00CE2BE4"/>
    <w:rsid w:val="00CE30FB"/>
    <w:rsid w:val="00CE34FC"/>
    <w:rsid w:val="00CE4655"/>
    <w:rsid w:val="00CE4BF0"/>
    <w:rsid w:val="00CE4F39"/>
    <w:rsid w:val="00CE561A"/>
    <w:rsid w:val="00CE6B3F"/>
    <w:rsid w:val="00CF24EC"/>
    <w:rsid w:val="00CF2C35"/>
    <w:rsid w:val="00CF3072"/>
    <w:rsid w:val="00CF3680"/>
    <w:rsid w:val="00CF493B"/>
    <w:rsid w:val="00CF60FE"/>
    <w:rsid w:val="00CF7B77"/>
    <w:rsid w:val="00D00286"/>
    <w:rsid w:val="00D00A59"/>
    <w:rsid w:val="00D014C1"/>
    <w:rsid w:val="00D01911"/>
    <w:rsid w:val="00D02A17"/>
    <w:rsid w:val="00D04024"/>
    <w:rsid w:val="00D04B3E"/>
    <w:rsid w:val="00D04DED"/>
    <w:rsid w:val="00D05E5B"/>
    <w:rsid w:val="00D10979"/>
    <w:rsid w:val="00D10A3D"/>
    <w:rsid w:val="00D10BC0"/>
    <w:rsid w:val="00D11C0B"/>
    <w:rsid w:val="00D1264B"/>
    <w:rsid w:val="00D12A52"/>
    <w:rsid w:val="00D1330E"/>
    <w:rsid w:val="00D13E98"/>
    <w:rsid w:val="00D14154"/>
    <w:rsid w:val="00D14CDD"/>
    <w:rsid w:val="00D15264"/>
    <w:rsid w:val="00D158A1"/>
    <w:rsid w:val="00D2006E"/>
    <w:rsid w:val="00D20DBF"/>
    <w:rsid w:val="00D21622"/>
    <w:rsid w:val="00D21668"/>
    <w:rsid w:val="00D21DEF"/>
    <w:rsid w:val="00D222BD"/>
    <w:rsid w:val="00D22C6E"/>
    <w:rsid w:val="00D251F6"/>
    <w:rsid w:val="00D255E3"/>
    <w:rsid w:val="00D27A25"/>
    <w:rsid w:val="00D30FC4"/>
    <w:rsid w:val="00D319C4"/>
    <w:rsid w:val="00D31F8F"/>
    <w:rsid w:val="00D32862"/>
    <w:rsid w:val="00D338FF"/>
    <w:rsid w:val="00D344B8"/>
    <w:rsid w:val="00D36C18"/>
    <w:rsid w:val="00D4015C"/>
    <w:rsid w:val="00D40EA9"/>
    <w:rsid w:val="00D41FE7"/>
    <w:rsid w:val="00D42F42"/>
    <w:rsid w:val="00D43EA8"/>
    <w:rsid w:val="00D4440E"/>
    <w:rsid w:val="00D449F3"/>
    <w:rsid w:val="00D44BC4"/>
    <w:rsid w:val="00D46F1A"/>
    <w:rsid w:val="00D4759A"/>
    <w:rsid w:val="00D47A13"/>
    <w:rsid w:val="00D47AF2"/>
    <w:rsid w:val="00D504A6"/>
    <w:rsid w:val="00D508D4"/>
    <w:rsid w:val="00D5105D"/>
    <w:rsid w:val="00D51965"/>
    <w:rsid w:val="00D51BD4"/>
    <w:rsid w:val="00D51BD6"/>
    <w:rsid w:val="00D528FB"/>
    <w:rsid w:val="00D532C0"/>
    <w:rsid w:val="00D540EC"/>
    <w:rsid w:val="00D541C3"/>
    <w:rsid w:val="00D55176"/>
    <w:rsid w:val="00D55E69"/>
    <w:rsid w:val="00D565FC"/>
    <w:rsid w:val="00D600E2"/>
    <w:rsid w:val="00D60835"/>
    <w:rsid w:val="00D60D82"/>
    <w:rsid w:val="00D64196"/>
    <w:rsid w:val="00D64906"/>
    <w:rsid w:val="00D65C9D"/>
    <w:rsid w:val="00D66226"/>
    <w:rsid w:val="00D6624D"/>
    <w:rsid w:val="00D70607"/>
    <w:rsid w:val="00D70F96"/>
    <w:rsid w:val="00D7167F"/>
    <w:rsid w:val="00D71CD9"/>
    <w:rsid w:val="00D741E2"/>
    <w:rsid w:val="00D7495E"/>
    <w:rsid w:val="00D75363"/>
    <w:rsid w:val="00D7603C"/>
    <w:rsid w:val="00D76BEF"/>
    <w:rsid w:val="00D81A0E"/>
    <w:rsid w:val="00D8306F"/>
    <w:rsid w:val="00D84191"/>
    <w:rsid w:val="00D846B2"/>
    <w:rsid w:val="00D84808"/>
    <w:rsid w:val="00D855CD"/>
    <w:rsid w:val="00D861F2"/>
    <w:rsid w:val="00D90129"/>
    <w:rsid w:val="00D90C72"/>
    <w:rsid w:val="00D92FA3"/>
    <w:rsid w:val="00D92FEA"/>
    <w:rsid w:val="00D935AA"/>
    <w:rsid w:val="00D93C19"/>
    <w:rsid w:val="00D95C1E"/>
    <w:rsid w:val="00D96A07"/>
    <w:rsid w:val="00D97D24"/>
    <w:rsid w:val="00D97EC5"/>
    <w:rsid w:val="00DA0C21"/>
    <w:rsid w:val="00DA2003"/>
    <w:rsid w:val="00DA3366"/>
    <w:rsid w:val="00DA396F"/>
    <w:rsid w:val="00DA6099"/>
    <w:rsid w:val="00DA6A0E"/>
    <w:rsid w:val="00DA7D61"/>
    <w:rsid w:val="00DB095F"/>
    <w:rsid w:val="00DB0DF6"/>
    <w:rsid w:val="00DB1037"/>
    <w:rsid w:val="00DB10A4"/>
    <w:rsid w:val="00DB1214"/>
    <w:rsid w:val="00DB1349"/>
    <w:rsid w:val="00DB2592"/>
    <w:rsid w:val="00DB2799"/>
    <w:rsid w:val="00DB27EF"/>
    <w:rsid w:val="00DB3231"/>
    <w:rsid w:val="00DB3720"/>
    <w:rsid w:val="00DB4548"/>
    <w:rsid w:val="00DB4804"/>
    <w:rsid w:val="00DB4E13"/>
    <w:rsid w:val="00DB6811"/>
    <w:rsid w:val="00DB7C00"/>
    <w:rsid w:val="00DC1D90"/>
    <w:rsid w:val="00DC2845"/>
    <w:rsid w:val="00DC2AD7"/>
    <w:rsid w:val="00DC2D05"/>
    <w:rsid w:val="00DC4576"/>
    <w:rsid w:val="00DC6B26"/>
    <w:rsid w:val="00DC6D7B"/>
    <w:rsid w:val="00DD0DB1"/>
    <w:rsid w:val="00DD0FEB"/>
    <w:rsid w:val="00DD3308"/>
    <w:rsid w:val="00DD5163"/>
    <w:rsid w:val="00DD6872"/>
    <w:rsid w:val="00DE1519"/>
    <w:rsid w:val="00DE3187"/>
    <w:rsid w:val="00DE374B"/>
    <w:rsid w:val="00DE582B"/>
    <w:rsid w:val="00DF2509"/>
    <w:rsid w:val="00DF5840"/>
    <w:rsid w:val="00DF66C9"/>
    <w:rsid w:val="00DF6AEA"/>
    <w:rsid w:val="00DF6E0F"/>
    <w:rsid w:val="00E00168"/>
    <w:rsid w:val="00E01887"/>
    <w:rsid w:val="00E02548"/>
    <w:rsid w:val="00E02C24"/>
    <w:rsid w:val="00E032AA"/>
    <w:rsid w:val="00E05020"/>
    <w:rsid w:val="00E05CE9"/>
    <w:rsid w:val="00E0605C"/>
    <w:rsid w:val="00E1060E"/>
    <w:rsid w:val="00E10D48"/>
    <w:rsid w:val="00E1110D"/>
    <w:rsid w:val="00E11BE3"/>
    <w:rsid w:val="00E12C9B"/>
    <w:rsid w:val="00E136C2"/>
    <w:rsid w:val="00E14B5A"/>
    <w:rsid w:val="00E1743A"/>
    <w:rsid w:val="00E20E0F"/>
    <w:rsid w:val="00E20FBB"/>
    <w:rsid w:val="00E2207B"/>
    <w:rsid w:val="00E220EF"/>
    <w:rsid w:val="00E22241"/>
    <w:rsid w:val="00E24764"/>
    <w:rsid w:val="00E24CE2"/>
    <w:rsid w:val="00E252B3"/>
    <w:rsid w:val="00E27629"/>
    <w:rsid w:val="00E31710"/>
    <w:rsid w:val="00E320EF"/>
    <w:rsid w:val="00E32CEC"/>
    <w:rsid w:val="00E33132"/>
    <w:rsid w:val="00E334AC"/>
    <w:rsid w:val="00E33D9D"/>
    <w:rsid w:val="00E34FE3"/>
    <w:rsid w:val="00E36272"/>
    <w:rsid w:val="00E421BD"/>
    <w:rsid w:val="00E42AEB"/>
    <w:rsid w:val="00E42E1F"/>
    <w:rsid w:val="00E45BAE"/>
    <w:rsid w:val="00E46711"/>
    <w:rsid w:val="00E46C90"/>
    <w:rsid w:val="00E50D6F"/>
    <w:rsid w:val="00E535D3"/>
    <w:rsid w:val="00E53C2E"/>
    <w:rsid w:val="00E53F59"/>
    <w:rsid w:val="00E542EB"/>
    <w:rsid w:val="00E56B1B"/>
    <w:rsid w:val="00E57A4F"/>
    <w:rsid w:val="00E57A69"/>
    <w:rsid w:val="00E57DCD"/>
    <w:rsid w:val="00E6213A"/>
    <w:rsid w:val="00E6319B"/>
    <w:rsid w:val="00E63B7D"/>
    <w:rsid w:val="00E662DD"/>
    <w:rsid w:val="00E67A0E"/>
    <w:rsid w:val="00E72FB9"/>
    <w:rsid w:val="00E73C9E"/>
    <w:rsid w:val="00E74E9C"/>
    <w:rsid w:val="00E773C9"/>
    <w:rsid w:val="00E81A7E"/>
    <w:rsid w:val="00E82D10"/>
    <w:rsid w:val="00E82D7E"/>
    <w:rsid w:val="00E8338A"/>
    <w:rsid w:val="00E84CFC"/>
    <w:rsid w:val="00E84D3A"/>
    <w:rsid w:val="00E84D61"/>
    <w:rsid w:val="00E855B5"/>
    <w:rsid w:val="00E85BBF"/>
    <w:rsid w:val="00E87633"/>
    <w:rsid w:val="00E9058D"/>
    <w:rsid w:val="00E90E3D"/>
    <w:rsid w:val="00E92F55"/>
    <w:rsid w:val="00E9349C"/>
    <w:rsid w:val="00E94607"/>
    <w:rsid w:val="00E95D9A"/>
    <w:rsid w:val="00E96912"/>
    <w:rsid w:val="00E976D2"/>
    <w:rsid w:val="00EA0CA3"/>
    <w:rsid w:val="00EA1139"/>
    <w:rsid w:val="00EA250F"/>
    <w:rsid w:val="00EA3417"/>
    <w:rsid w:val="00EA38D0"/>
    <w:rsid w:val="00EA43D0"/>
    <w:rsid w:val="00EA6036"/>
    <w:rsid w:val="00EA6DC8"/>
    <w:rsid w:val="00EA73A9"/>
    <w:rsid w:val="00EA766A"/>
    <w:rsid w:val="00EA7FA2"/>
    <w:rsid w:val="00EB009F"/>
    <w:rsid w:val="00EB1C33"/>
    <w:rsid w:val="00EB3E2B"/>
    <w:rsid w:val="00EB5736"/>
    <w:rsid w:val="00EB6217"/>
    <w:rsid w:val="00EB690A"/>
    <w:rsid w:val="00EB6965"/>
    <w:rsid w:val="00EB6A34"/>
    <w:rsid w:val="00EC2222"/>
    <w:rsid w:val="00EC2CA9"/>
    <w:rsid w:val="00EC440E"/>
    <w:rsid w:val="00EC46DB"/>
    <w:rsid w:val="00EC472F"/>
    <w:rsid w:val="00EC497D"/>
    <w:rsid w:val="00EC4B5A"/>
    <w:rsid w:val="00EC4D3D"/>
    <w:rsid w:val="00EC50D3"/>
    <w:rsid w:val="00EC542D"/>
    <w:rsid w:val="00EC62A9"/>
    <w:rsid w:val="00ED234B"/>
    <w:rsid w:val="00ED283D"/>
    <w:rsid w:val="00ED376A"/>
    <w:rsid w:val="00ED4A1B"/>
    <w:rsid w:val="00ED5E9C"/>
    <w:rsid w:val="00ED7772"/>
    <w:rsid w:val="00EE0D7D"/>
    <w:rsid w:val="00EE174D"/>
    <w:rsid w:val="00EE1912"/>
    <w:rsid w:val="00EE3DDC"/>
    <w:rsid w:val="00EE40EC"/>
    <w:rsid w:val="00EE40F5"/>
    <w:rsid w:val="00EE735E"/>
    <w:rsid w:val="00EF0507"/>
    <w:rsid w:val="00EF2972"/>
    <w:rsid w:val="00EF2D63"/>
    <w:rsid w:val="00EF2F48"/>
    <w:rsid w:val="00EF46E1"/>
    <w:rsid w:val="00EF59AE"/>
    <w:rsid w:val="00EF6187"/>
    <w:rsid w:val="00F00107"/>
    <w:rsid w:val="00F00617"/>
    <w:rsid w:val="00F00E79"/>
    <w:rsid w:val="00F0137F"/>
    <w:rsid w:val="00F01BD8"/>
    <w:rsid w:val="00F02218"/>
    <w:rsid w:val="00F02E38"/>
    <w:rsid w:val="00F040C7"/>
    <w:rsid w:val="00F04169"/>
    <w:rsid w:val="00F05757"/>
    <w:rsid w:val="00F07227"/>
    <w:rsid w:val="00F108B5"/>
    <w:rsid w:val="00F10D78"/>
    <w:rsid w:val="00F149CA"/>
    <w:rsid w:val="00F14A02"/>
    <w:rsid w:val="00F16B8A"/>
    <w:rsid w:val="00F20551"/>
    <w:rsid w:val="00F229F6"/>
    <w:rsid w:val="00F2388B"/>
    <w:rsid w:val="00F240BA"/>
    <w:rsid w:val="00F308B0"/>
    <w:rsid w:val="00F30DB4"/>
    <w:rsid w:val="00F31218"/>
    <w:rsid w:val="00F317BA"/>
    <w:rsid w:val="00F31C84"/>
    <w:rsid w:val="00F31E87"/>
    <w:rsid w:val="00F33979"/>
    <w:rsid w:val="00F35668"/>
    <w:rsid w:val="00F357C4"/>
    <w:rsid w:val="00F35EE1"/>
    <w:rsid w:val="00F36843"/>
    <w:rsid w:val="00F40DC5"/>
    <w:rsid w:val="00F4270D"/>
    <w:rsid w:val="00F42815"/>
    <w:rsid w:val="00F43536"/>
    <w:rsid w:val="00F44052"/>
    <w:rsid w:val="00F44B57"/>
    <w:rsid w:val="00F44D43"/>
    <w:rsid w:val="00F45154"/>
    <w:rsid w:val="00F452B7"/>
    <w:rsid w:val="00F46399"/>
    <w:rsid w:val="00F46D5D"/>
    <w:rsid w:val="00F47D36"/>
    <w:rsid w:val="00F51238"/>
    <w:rsid w:val="00F53060"/>
    <w:rsid w:val="00F539D8"/>
    <w:rsid w:val="00F5705E"/>
    <w:rsid w:val="00F5736D"/>
    <w:rsid w:val="00F60D7E"/>
    <w:rsid w:val="00F630A5"/>
    <w:rsid w:val="00F635CD"/>
    <w:rsid w:val="00F63B21"/>
    <w:rsid w:val="00F6400F"/>
    <w:rsid w:val="00F66C2B"/>
    <w:rsid w:val="00F67171"/>
    <w:rsid w:val="00F67419"/>
    <w:rsid w:val="00F71113"/>
    <w:rsid w:val="00F71E0F"/>
    <w:rsid w:val="00F71EEF"/>
    <w:rsid w:val="00F71FE6"/>
    <w:rsid w:val="00F722B9"/>
    <w:rsid w:val="00F72714"/>
    <w:rsid w:val="00F72DE3"/>
    <w:rsid w:val="00F739A3"/>
    <w:rsid w:val="00F74DBB"/>
    <w:rsid w:val="00F74DF6"/>
    <w:rsid w:val="00F756B9"/>
    <w:rsid w:val="00F77562"/>
    <w:rsid w:val="00F7767C"/>
    <w:rsid w:val="00F829CC"/>
    <w:rsid w:val="00F83307"/>
    <w:rsid w:val="00F834E8"/>
    <w:rsid w:val="00F84260"/>
    <w:rsid w:val="00F84642"/>
    <w:rsid w:val="00F84A38"/>
    <w:rsid w:val="00F85648"/>
    <w:rsid w:val="00F866E9"/>
    <w:rsid w:val="00F8749B"/>
    <w:rsid w:val="00F90AB3"/>
    <w:rsid w:val="00F91530"/>
    <w:rsid w:val="00F92EAC"/>
    <w:rsid w:val="00F93C87"/>
    <w:rsid w:val="00FA0EB4"/>
    <w:rsid w:val="00FA2246"/>
    <w:rsid w:val="00FA4C08"/>
    <w:rsid w:val="00FA6070"/>
    <w:rsid w:val="00FB1858"/>
    <w:rsid w:val="00FB1870"/>
    <w:rsid w:val="00FB209C"/>
    <w:rsid w:val="00FB39F0"/>
    <w:rsid w:val="00FB4336"/>
    <w:rsid w:val="00FB46EB"/>
    <w:rsid w:val="00FB48E4"/>
    <w:rsid w:val="00FB4EC7"/>
    <w:rsid w:val="00FB68F9"/>
    <w:rsid w:val="00FB758A"/>
    <w:rsid w:val="00FB7FDD"/>
    <w:rsid w:val="00FC4481"/>
    <w:rsid w:val="00FC5488"/>
    <w:rsid w:val="00FC5AF8"/>
    <w:rsid w:val="00FC6AED"/>
    <w:rsid w:val="00FC6C08"/>
    <w:rsid w:val="00FC73D6"/>
    <w:rsid w:val="00FD158E"/>
    <w:rsid w:val="00FD2C25"/>
    <w:rsid w:val="00FD324B"/>
    <w:rsid w:val="00FD7DCB"/>
    <w:rsid w:val="00FE0BAA"/>
    <w:rsid w:val="00FE0BC3"/>
    <w:rsid w:val="00FE11F9"/>
    <w:rsid w:val="00FE1983"/>
    <w:rsid w:val="00FE20D0"/>
    <w:rsid w:val="00FE2295"/>
    <w:rsid w:val="00FE2E7C"/>
    <w:rsid w:val="00FE3682"/>
    <w:rsid w:val="00FE3F8C"/>
    <w:rsid w:val="00FE62F1"/>
    <w:rsid w:val="00FE67F0"/>
    <w:rsid w:val="00FE6F4B"/>
    <w:rsid w:val="00FE7BE9"/>
    <w:rsid w:val="00FF2324"/>
    <w:rsid w:val="00FF38F7"/>
    <w:rsid w:val="00FF3B4B"/>
    <w:rsid w:val="00FF42AB"/>
    <w:rsid w:val="00FF4DC1"/>
    <w:rsid w:val="00FF5FC7"/>
    <w:rsid w:val="00FF6536"/>
    <w:rsid w:val="00FF662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CC4838"/>
  <w15:docId w15:val="{6A156BE1-39DC-4463-87F2-DFF312536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F34"/>
    <w:rPr>
      <w:rFonts w:ascii="Times New Roman" w:eastAsia="Times New Roman" w:hAnsi="Times New Roman" w:cs="Times New Roman"/>
      <w:lang w:val="en-US" w:eastAsia="es-ES"/>
    </w:rPr>
  </w:style>
  <w:style w:type="paragraph" w:styleId="Ttulo1">
    <w:name w:val="heading 1"/>
    <w:basedOn w:val="Normal"/>
    <w:next w:val="Normal"/>
    <w:link w:val="Ttulo1Car"/>
    <w:autoRedefine/>
    <w:uiPriority w:val="9"/>
    <w:qFormat/>
    <w:rsid w:val="00144ECC"/>
    <w:pPr>
      <w:keepNext/>
      <w:suppressAutoHyphens/>
      <w:spacing w:line="480" w:lineRule="auto"/>
      <w:jc w:val="both"/>
      <w:outlineLvl w:val="0"/>
    </w:pPr>
    <w:rPr>
      <w:rFonts w:ascii="Arial" w:hAnsi="Arial" w:cs="Arial"/>
      <w:bCs/>
      <w:color w:val="000000" w:themeColor="text1"/>
      <w:kern w:val="32"/>
    </w:rPr>
  </w:style>
  <w:style w:type="paragraph" w:styleId="Ttulo2">
    <w:name w:val="heading 2"/>
    <w:basedOn w:val="Normal"/>
    <w:next w:val="Normal"/>
    <w:link w:val="Ttulo2Car"/>
    <w:uiPriority w:val="99"/>
    <w:qFormat/>
    <w:rsid w:val="002D1A94"/>
    <w:pPr>
      <w:keepNext/>
      <w:numPr>
        <w:ilvl w:val="1"/>
        <w:numId w:val="1"/>
      </w:numPr>
      <w:suppressAutoHyphens/>
      <w:spacing w:before="240" w:after="60" w:line="360" w:lineRule="auto"/>
      <w:ind w:left="578" w:hanging="578"/>
      <w:jc w:val="both"/>
      <w:outlineLvl w:val="1"/>
    </w:pPr>
    <w:rPr>
      <w:rFonts w:ascii="Arial" w:hAnsi="Arial"/>
      <w:b/>
      <w:bCs/>
      <w:i/>
      <w:iCs/>
      <w:sz w:val="22"/>
      <w:szCs w:val="22"/>
      <w:lang w:val="en-GB"/>
    </w:rPr>
  </w:style>
  <w:style w:type="paragraph" w:styleId="Ttulo3">
    <w:name w:val="heading 3"/>
    <w:basedOn w:val="Normal"/>
    <w:next w:val="Normal"/>
    <w:link w:val="Ttulo3Car"/>
    <w:uiPriority w:val="99"/>
    <w:qFormat/>
    <w:rsid w:val="005C4FC2"/>
    <w:pPr>
      <w:keepNext/>
      <w:numPr>
        <w:ilvl w:val="2"/>
        <w:numId w:val="1"/>
      </w:numPr>
      <w:spacing w:line="360" w:lineRule="auto"/>
      <w:jc w:val="both"/>
      <w:outlineLvl w:val="2"/>
    </w:pPr>
    <w:rPr>
      <w:rFonts w:ascii="Arial" w:hAnsi="Arial"/>
      <w:b/>
      <w:bCs/>
      <w:sz w:val="22"/>
      <w:szCs w:val="26"/>
      <w:lang w:val="en-GB"/>
    </w:rPr>
  </w:style>
  <w:style w:type="paragraph" w:styleId="Ttulo4">
    <w:name w:val="heading 4"/>
    <w:basedOn w:val="Normal"/>
    <w:next w:val="Normal"/>
    <w:link w:val="Ttulo4Car"/>
    <w:uiPriority w:val="99"/>
    <w:qFormat/>
    <w:rsid w:val="005C4FC2"/>
    <w:pPr>
      <w:keepNext/>
      <w:numPr>
        <w:ilvl w:val="3"/>
        <w:numId w:val="1"/>
      </w:numPr>
      <w:spacing w:before="240" w:after="60" w:line="360" w:lineRule="auto"/>
      <w:jc w:val="both"/>
      <w:outlineLvl w:val="3"/>
    </w:pPr>
    <w:rPr>
      <w:rFonts w:ascii="Calibri" w:eastAsia="Calibri" w:hAnsi="Calibri"/>
      <w:b/>
      <w:sz w:val="28"/>
      <w:szCs w:val="20"/>
      <w:lang w:val="en-GB"/>
    </w:rPr>
  </w:style>
  <w:style w:type="paragraph" w:styleId="Ttulo5">
    <w:name w:val="heading 5"/>
    <w:basedOn w:val="Normal"/>
    <w:next w:val="Normal"/>
    <w:link w:val="Ttulo5Car"/>
    <w:uiPriority w:val="99"/>
    <w:qFormat/>
    <w:rsid w:val="005C4FC2"/>
    <w:pPr>
      <w:numPr>
        <w:ilvl w:val="4"/>
        <w:numId w:val="1"/>
      </w:numPr>
      <w:spacing w:before="240" w:after="60" w:line="360" w:lineRule="auto"/>
      <w:jc w:val="both"/>
      <w:outlineLvl w:val="4"/>
    </w:pPr>
    <w:rPr>
      <w:rFonts w:ascii="Calibri" w:eastAsia="Calibri" w:hAnsi="Calibri"/>
      <w:b/>
      <w:i/>
      <w:sz w:val="26"/>
      <w:szCs w:val="20"/>
      <w:lang w:val="en-GB"/>
    </w:rPr>
  </w:style>
  <w:style w:type="paragraph" w:styleId="Ttulo6">
    <w:name w:val="heading 6"/>
    <w:basedOn w:val="Normal"/>
    <w:next w:val="Normal"/>
    <w:link w:val="Ttulo6Car"/>
    <w:uiPriority w:val="99"/>
    <w:qFormat/>
    <w:rsid w:val="005C4FC2"/>
    <w:pPr>
      <w:numPr>
        <w:ilvl w:val="5"/>
        <w:numId w:val="1"/>
      </w:numPr>
      <w:spacing w:before="240" w:after="60" w:line="360" w:lineRule="auto"/>
      <w:jc w:val="both"/>
      <w:outlineLvl w:val="5"/>
    </w:pPr>
    <w:rPr>
      <w:rFonts w:ascii="Calibri" w:eastAsia="Calibri" w:hAnsi="Calibri"/>
      <w:b/>
      <w:sz w:val="22"/>
      <w:szCs w:val="20"/>
      <w:lang w:val="en-GB"/>
    </w:rPr>
  </w:style>
  <w:style w:type="paragraph" w:styleId="Ttulo7">
    <w:name w:val="heading 7"/>
    <w:basedOn w:val="Normal"/>
    <w:next w:val="Normal"/>
    <w:link w:val="Ttulo7Car"/>
    <w:uiPriority w:val="99"/>
    <w:qFormat/>
    <w:rsid w:val="005C4FC2"/>
    <w:pPr>
      <w:numPr>
        <w:ilvl w:val="6"/>
        <w:numId w:val="1"/>
      </w:numPr>
      <w:spacing w:before="240" w:after="60" w:line="360" w:lineRule="auto"/>
      <w:jc w:val="both"/>
      <w:outlineLvl w:val="6"/>
    </w:pPr>
    <w:rPr>
      <w:rFonts w:ascii="Calibri" w:eastAsia="Calibri" w:hAnsi="Calibri"/>
      <w:szCs w:val="20"/>
      <w:lang w:val="en-GB"/>
    </w:rPr>
  </w:style>
  <w:style w:type="paragraph" w:styleId="Ttulo8">
    <w:name w:val="heading 8"/>
    <w:basedOn w:val="Normal"/>
    <w:next w:val="Normal"/>
    <w:link w:val="Ttulo8Car"/>
    <w:uiPriority w:val="99"/>
    <w:qFormat/>
    <w:rsid w:val="005C4FC2"/>
    <w:pPr>
      <w:numPr>
        <w:ilvl w:val="7"/>
        <w:numId w:val="1"/>
      </w:numPr>
      <w:spacing w:before="240" w:after="60" w:line="360" w:lineRule="auto"/>
      <w:jc w:val="both"/>
      <w:outlineLvl w:val="7"/>
    </w:pPr>
    <w:rPr>
      <w:rFonts w:ascii="Calibri" w:eastAsia="Calibri" w:hAnsi="Calibri"/>
      <w:i/>
      <w:szCs w:val="20"/>
      <w:lang w:val="en-GB"/>
    </w:rPr>
  </w:style>
  <w:style w:type="paragraph" w:styleId="Ttulo9">
    <w:name w:val="heading 9"/>
    <w:basedOn w:val="Normal"/>
    <w:next w:val="Normal"/>
    <w:link w:val="Ttulo9Car"/>
    <w:uiPriority w:val="99"/>
    <w:qFormat/>
    <w:rsid w:val="005C4FC2"/>
    <w:pPr>
      <w:numPr>
        <w:ilvl w:val="8"/>
        <w:numId w:val="1"/>
      </w:numPr>
      <w:spacing w:before="240" w:after="60" w:line="360" w:lineRule="auto"/>
      <w:jc w:val="both"/>
      <w:outlineLvl w:val="8"/>
    </w:pPr>
    <w:rPr>
      <w:rFonts w:ascii="Calibri Light" w:eastAsia="Calibri" w:hAnsi="Calibri Light"/>
      <w:sz w:val="22"/>
      <w:szCs w:val="20"/>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44ECC"/>
    <w:rPr>
      <w:rFonts w:ascii="Arial" w:eastAsia="Times New Roman" w:hAnsi="Arial" w:cs="Arial"/>
      <w:bCs/>
      <w:color w:val="000000" w:themeColor="text1"/>
      <w:kern w:val="32"/>
      <w:lang w:val="en-US" w:eastAsia="es-ES"/>
    </w:rPr>
  </w:style>
  <w:style w:type="character" w:customStyle="1" w:styleId="Ttulo2Car">
    <w:name w:val="Título 2 Car"/>
    <w:basedOn w:val="Fuentedeprrafopredeter"/>
    <w:link w:val="Ttulo2"/>
    <w:uiPriority w:val="99"/>
    <w:rsid w:val="002D1A94"/>
    <w:rPr>
      <w:rFonts w:ascii="Arial" w:eastAsia="Times New Roman" w:hAnsi="Arial" w:cs="Times New Roman"/>
      <w:b/>
      <w:bCs/>
      <w:i/>
      <w:iCs/>
      <w:sz w:val="22"/>
      <w:szCs w:val="22"/>
      <w:lang w:val="en-GB" w:eastAsia="es-ES"/>
    </w:rPr>
  </w:style>
  <w:style w:type="character" w:customStyle="1" w:styleId="Ttulo3Car">
    <w:name w:val="Título 3 Car"/>
    <w:basedOn w:val="Fuentedeprrafopredeter"/>
    <w:link w:val="Ttulo3"/>
    <w:uiPriority w:val="99"/>
    <w:rsid w:val="005C4FC2"/>
    <w:rPr>
      <w:rFonts w:ascii="Arial" w:eastAsia="Times New Roman" w:hAnsi="Arial" w:cs="Times New Roman"/>
      <w:b/>
      <w:bCs/>
      <w:sz w:val="22"/>
      <w:szCs w:val="26"/>
      <w:lang w:val="en-GB" w:eastAsia="es-ES"/>
    </w:rPr>
  </w:style>
  <w:style w:type="character" w:customStyle="1" w:styleId="Ttulo4Car">
    <w:name w:val="Título 4 Car"/>
    <w:basedOn w:val="Fuentedeprrafopredeter"/>
    <w:link w:val="Ttulo4"/>
    <w:uiPriority w:val="99"/>
    <w:rsid w:val="005C4FC2"/>
    <w:rPr>
      <w:rFonts w:ascii="Calibri" w:eastAsia="Calibri" w:hAnsi="Calibri" w:cs="Times New Roman"/>
      <w:b/>
      <w:sz w:val="28"/>
      <w:szCs w:val="20"/>
      <w:lang w:val="en-GB" w:eastAsia="es-ES"/>
    </w:rPr>
  </w:style>
  <w:style w:type="character" w:customStyle="1" w:styleId="Ttulo5Car">
    <w:name w:val="Título 5 Car"/>
    <w:basedOn w:val="Fuentedeprrafopredeter"/>
    <w:link w:val="Ttulo5"/>
    <w:uiPriority w:val="99"/>
    <w:rsid w:val="005C4FC2"/>
    <w:rPr>
      <w:rFonts w:ascii="Calibri" w:eastAsia="Calibri" w:hAnsi="Calibri" w:cs="Times New Roman"/>
      <w:b/>
      <w:i/>
      <w:sz w:val="26"/>
      <w:szCs w:val="20"/>
      <w:lang w:val="en-GB" w:eastAsia="es-ES"/>
    </w:rPr>
  </w:style>
  <w:style w:type="character" w:customStyle="1" w:styleId="Ttulo6Car">
    <w:name w:val="Título 6 Car"/>
    <w:basedOn w:val="Fuentedeprrafopredeter"/>
    <w:link w:val="Ttulo6"/>
    <w:uiPriority w:val="99"/>
    <w:rsid w:val="005C4FC2"/>
    <w:rPr>
      <w:rFonts w:ascii="Calibri" w:eastAsia="Calibri" w:hAnsi="Calibri" w:cs="Times New Roman"/>
      <w:b/>
      <w:sz w:val="22"/>
      <w:szCs w:val="20"/>
      <w:lang w:val="en-GB" w:eastAsia="es-ES"/>
    </w:rPr>
  </w:style>
  <w:style w:type="character" w:customStyle="1" w:styleId="Ttulo7Car">
    <w:name w:val="Título 7 Car"/>
    <w:basedOn w:val="Fuentedeprrafopredeter"/>
    <w:link w:val="Ttulo7"/>
    <w:uiPriority w:val="99"/>
    <w:rsid w:val="005C4FC2"/>
    <w:rPr>
      <w:rFonts w:ascii="Calibri" w:eastAsia="Calibri" w:hAnsi="Calibri" w:cs="Times New Roman"/>
      <w:szCs w:val="20"/>
      <w:lang w:val="en-GB" w:eastAsia="es-ES"/>
    </w:rPr>
  </w:style>
  <w:style w:type="character" w:customStyle="1" w:styleId="Ttulo8Car">
    <w:name w:val="Título 8 Car"/>
    <w:basedOn w:val="Fuentedeprrafopredeter"/>
    <w:link w:val="Ttulo8"/>
    <w:uiPriority w:val="99"/>
    <w:rsid w:val="005C4FC2"/>
    <w:rPr>
      <w:rFonts w:ascii="Calibri" w:eastAsia="Calibri" w:hAnsi="Calibri" w:cs="Times New Roman"/>
      <w:i/>
      <w:szCs w:val="20"/>
      <w:lang w:val="en-GB" w:eastAsia="es-ES"/>
    </w:rPr>
  </w:style>
  <w:style w:type="character" w:customStyle="1" w:styleId="Ttulo9Car">
    <w:name w:val="Título 9 Car"/>
    <w:basedOn w:val="Fuentedeprrafopredeter"/>
    <w:link w:val="Ttulo9"/>
    <w:uiPriority w:val="99"/>
    <w:rsid w:val="005C4FC2"/>
    <w:rPr>
      <w:rFonts w:ascii="Calibri Light" w:eastAsia="Calibri" w:hAnsi="Calibri Light" w:cs="Times New Roman"/>
      <w:sz w:val="22"/>
      <w:szCs w:val="20"/>
      <w:lang w:val="en-GB" w:eastAsia="es-ES"/>
    </w:rPr>
  </w:style>
  <w:style w:type="paragraph" w:styleId="Encabezado">
    <w:name w:val="header"/>
    <w:basedOn w:val="Normal"/>
    <w:link w:val="EncabezadoCar"/>
    <w:uiPriority w:val="99"/>
    <w:unhideWhenUsed/>
    <w:rsid w:val="005C4FC2"/>
    <w:pPr>
      <w:tabs>
        <w:tab w:val="center" w:pos="4252"/>
        <w:tab w:val="right" w:pos="8504"/>
      </w:tabs>
    </w:pPr>
  </w:style>
  <w:style w:type="character" w:customStyle="1" w:styleId="EncabezadoCar">
    <w:name w:val="Encabezado Car"/>
    <w:basedOn w:val="Fuentedeprrafopredeter"/>
    <w:link w:val="Encabezado"/>
    <w:uiPriority w:val="99"/>
    <w:rsid w:val="005C4FC2"/>
  </w:style>
  <w:style w:type="paragraph" w:styleId="Piedepgina">
    <w:name w:val="footer"/>
    <w:basedOn w:val="Normal"/>
    <w:link w:val="PiedepginaCar"/>
    <w:uiPriority w:val="99"/>
    <w:unhideWhenUsed/>
    <w:rsid w:val="005C4FC2"/>
    <w:pPr>
      <w:tabs>
        <w:tab w:val="center" w:pos="4252"/>
        <w:tab w:val="right" w:pos="8504"/>
      </w:tabs>
    </w:pPr>
  </w:style>
  <w:style w:type="character" w:customStyle="1" w:styleId="PiedepginaCar">
    <w:name w:val="Pie de página Car"/>
    <w:basedOn w:val="Fuentedeprrafopredeter"/>
    <w:link w:val="Piedepgina"/>
    <w:uiPriority w:val="99"/>
    <w:rsid w:val="005C4FC2"/>
  </w:style>
  <w:style w:type="character" w:styleId="Nmerodepgina">
    <w:name w:val="page number"/>
    <w:basedOn w:val="Fuentedeprrafopredeter"/>
    <w:uiPriority w:val="99"/>
    <w:unhideWhenUsed/>
    <w:rsid w:val="005C4FC2"/>
  </w:style>
  <w:style w:type="paragraph" w:customStyle="1" w:styleId="Paragraph">
    <w:name w:val="Paragraph"/>
    <w:basedOn w:val="Normal"/>
    <w:link w:val="ParagraphChar"/>
    <w:rsid w:val="008844DF"/>
    <w:pPr>
      <w:spacing w:after="170" w:line="280" w:lineRule="exact"/>
      <w:jc w:val="both"/>
    </w:pPr>
    <w:rPr>
      <w:rFonts w:ascii="Arial" w:eastAsia="SimSun" w:hAnsi="Arial"/>
      <w:szCs w:val="20"/>
      <w:lang w:val="en-GB" w:eastAsia="zh-CN"/>
    </w:rPr>
  </w:style>
  <w:style w:type="character" w:customStyle="1" w:styleId="ParagraphChar">
    <w:name w:val="Paragraph Char"/>
    <w:link w:val="Paragraph"/>
    <w:locked/>
    <w:rsid w:val="008844DF"/>
    <w:rPr>
      <w:rFonts w:ascii="Arial" w:eastAsia="SimSun" w:hAnsi="Arial" w:cs="Times New Roman"/>
      <w:szCs w:val="20"/>
      <w:lang w:val="en-GB" w:eastAsia="zh-CN"/>
    </w:rPr>
  </w:style>
  <w:style w:type="character" w:customStyle="1" w:styleId="HiddenChar">
    <w:name w:val="Hidden:Char"/>
    <w:rsid w:val="008844DF"/>
    <w:rPr>
      <w:rFonts w:ascii="Arial" w:hAnsi="Arial"/>
      <w:i/>
      <w:dstrike w:val="0"/>
      <w:vanish/>
      <w:color w:val="008000"/>
      <w:sz w:val="20"/>
      <w:u w:val="dotted"/>
      <w:vertAlign w:val="baseline"/>
      <w:lang w:val="en-US"/>
    </w:rPr>
  </w:style>
  <w:style w:type="character" w:styleId="Hipervnculo">
    <w:name w:val="Hyperlink"/>
    <w:basedOn w:val="Fuentedeprrafopredeter"/>
    <w:uiPriority w:val="99"/>
    <w:rsid w:val="001B5663"/>
    <w:rPr>
      <w:rFonts w:cs="Times New Roman"/>
      <w:color w:val="0000FF"/>
      <w:u w:val="single"/>
    </w:rPr>
  </w:style>
  <w:style w:type="character" w:styleId="Hipervnculovisitado">
    <w:name w:val="FollowedHyperlink"/>
    <w:basedOn w:val="Fuentedeprrafopredeter"/>
    <w:uiPriority w:val="99"/>
    <w:semiHidden/>
    <w:unhideWhenUsed/>
    <w:rsid w:val="00F47D36"/>
    <w:rPr>
      <w:color w:val="954F72" w:themeColor="followedHyperlink"/>
      <w:u w:val="single"/>
    </w:rPr>
  </w:style>
  <w:style w:type="paragraph" w:styleId="Prrafodelista">
    <w:name w:val="List Paragraph"/>
    <w:basedOn w:val="Normal"/>
    <w:uiPriority w:val="34"/>
    <w:qFormat/>
    <w:rsid w:val="00F47D36"/>
    <w:pPr>
      <w:spacing w:line="360" w:lineRule="auto"/>
      <w:ind w:left="720"/>
      <w:contextualSpacing/>
      <w:jc w:val="both"/>
    </w:pPr>
    <w:rPr>
      <w:rFonts w:ascii="Arial" w:eastAsia="Calibri" w:hAnsi="Arial" w:cs="Arial"/>
      <w:sz w:val="20"/>
      <w:szCs w:val="22"/>
      <w:lang w:val="en-GB"/>
    </w:rPr>
  </w:style>
  <w:style w:type="character" w:styleId="Refdecomentario">
    <w:name w:val="annotation reference"/>
    <w:uiPriority w:val="99"/>
    <w:rsid w:val="009E518A"/>
    <w:rPr>
      <w:sz w:val="16"/>
      <w:szCs w:val="16"/>
    </w:rPr>
  </w:style>
  <w:style w:type="paragraph" w:styleId="Textocomentario">
    <w:name w:val="annotation text"/>
    <w:basedOn w:val="Normal"/>
    <w:link w:val="TextocomentarioCar"/>
    <w:uiPriority w:val="99"/>
    <w:rsid w:val="009E518A"/>
    <w:pPr>
      <w:spacing w:line="360" w:lineRule="auto"/>
      <w:jc w:val="both"/>
    </w:pPr>
    <w:rPr>
      <w:rFonts w:ascii="Calibri" w:hAnsi="Calibri"/>
      <w:sz w:val="20"/>
      <w:szCs w:val="20"/>
      <w:lang w:val="x-none" w:eastAsia="x-none"/>
    </w:rPr>
  </w:style>
  <w:style w:type="character" w:customStyle="1" w:styleId="TextocomentarioCar">
    <w:name w:val="Texto comentario Car"/>
    <w:basedOn w:val="Fuentedeprrafopredeter"/>
    <w:link w:val="Textocomentario"/>
    <w:uiPriority w:val="99"/>
    <w:rsid w:val="009E518A"/>
    <w:rPr>
      <w:rFonts w:ascii="Calibri" w:eastAsia="Times New Roman" w:hAnsi="Calibri" w:cs="Times New Roman"/>
      <w:sz w:val="20"/>
      <w:szCs w:val="20"/>
      <w:lang w:val="x-none" w:eastAsia="x-none"/>
    </w:rPr>
  </w:style>
  <w:style w:type="paragraph" w:styleId="Textodeglobo">
    <w:name w:val="Balloon Text"/>
    <w:basedOn w:val="Normal"/>
    <w:link w:val="TextodegloboCar"/>
    <w:uiPriority w:val="99"/>
    <w:unhideWhenUsed/>
    <w:rsid w:val="009E518A"/>
    <w:rPr>
      <w:sz w:val="18"/>
      <w:szCs w:val="18"/>
    </w:rPr>
  </w:style>
  <w:style w:type="character" w:customStyle="1" w:styleId="TextodegloboCar">
    <w:name w:val="Texto de globo Car"/>
    <w:basedOn w:val="Fuentedeprrafopredeter"/>
    <w:link w:val="Textodeglobo"/>
    <w:uiPriority w:val="99"/>
    <w:rsid w:val="009E518A"/>
    <w:rPr>
      <w:rFonts w:ascii="Times New Roman" w:hAnsi="Times New Roman" w:cs="Times New Roman"/>
      <w:sz w:val="18"/>
      <w:szCs w:val="18"/>
    </w:rPr>
  </w:style>
  <w:style w:type="character" w:styleId="nfasis">
    <w:name w:val="Emphasis"/>
    <w:basedOn w:val="Fuentedeprrafopredeter"/>
    <w:uiPriority w:val="20"/>
    <w:qFormat/>
    <w:rsid w:val="00CA5C67"/>
    <w:rPr>
      <w:rFonts w:cs="Times New Roman"/>
      <w:i/>
    </w:rPr>
  </w:style>
  <w:style w:type="character" w:customStyle="1" w:styleId="apple-converted-space">
    <w:name w:val="apple-converted-space"/>
    <w:basedOn w:val="Fuentedeprrafopredeter"/>
    <w:rsid w:val="00E63B7D"/>
  </w:style>
  <w:style w:type="paragraph" w:styleId="Asuntodelcomentario">
    <w:name w:val="annotation subject"/>
    <w:basedOn w:val="Textocomentario"/>
    <w:next w:val="Textocomentario"/>
    <w:link w:val="AsuntodelcomentarioCar"/>
    <w:uiPriority w:val="99"/>
    <w:semiHidden/>
    <w:unhideWhenUsed/>
    <w:rsid w:val="008705E1"/>
    <w:pPr>
      <w:spacing w:line="240" w:lineRule="auto"/>
      <w:jc w:val="left"/>
    </w:pPr>
    <w:rPr>
      <w:rFonts w:asciiTheme="minorHAnsi" w:eastAsiaTheme="minorHAnsi" w:hAnsiTheme="minorHAnsi" w:cstheme="minorBidi"/>
      <w:b/>
      <w:bCs/>
      <w:lang w:val="es-ES_tradnl" w:eastAsia="en-US"/>
    </w:rPr>
  </w:style>
  <w:style w:type="character" w:customStyle="1" w:styleId="AsuntodelcomentarioCar">
    <w:name w:val="Asunto del comentario Car"/>
    <w:basedOn w:val="TextocomentarioCar"/>
    <w:link w:val="Asuntodelcomentario"/>
    <w:uiPriority w:val="99"/>
    <w:semiHidden/>
    <w:rsid w:val="008705E1"/>
    <w:rPr>
      <w:rFonts w:ascii="Calibri" w:eastAsia="Times New Roman" w:hAnsi="Calibri" w:cs="Times New Roman"/>
      <w:b/>
      <w:bCs/>
      <w:sz w:val="20"/>
      <w:szCs w:val="20"/>
      <w:lang w:val="x-none" w:eastAsia="x-none"/>
    </w:rPr>
  </w:style>
  <w:style w:type="paragraph" w:styleId="Revisin">
    <w:name w:val="Revision"/>
    <w:hidden/>
    <w:uiPriority w:val="99"/>
    <w:semiHidden/>
    <w:rsid w:val="005E72D0"/>
  </w:style>
  <w:style w:type="paragraph" w:styleId="Bibliografa">
    <w:name w:val="Bibliography"/>
    <w:basedOn w:val="Normal"/>
    <w:next w:val="Normal"/>
    <w:uiPriority w:val="37"/>
    <w:unhideWhenUsed/>
    <w:rsid w:val="007576B9"/>
    <w:pPr>
      <w:spacing w:line="360" w:lineRule="auto"/>
      <w:jc w:val="both"/>
    </w:pPr>
    <w:rPr>
      <w:rFonts w:ascii="Arial" w:eastAsia="Calibri" w:hAnsi="Arial" w:cs="Arial"/>
      <w:sz w:val="20"/>
      <w:szCs w:val="22"/>
      <w:lang w:val="en-GB"/>
    </w:rPr>
  </w:style>
  <w:style w:type="table" w:customStyle="1" w:styleId="Tabladecuadrcula1clara-nfasis21">
    <w:name w:val="Tabla de cuadrícula 1 clara - Énfasis 21"/>
    <w:basedOn w:val="Tablanormal"/>
    <w:uiPriority w:val="46"/>
    <w:rsid w:val="009875C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Tabladecuadrcula4-nfasis21">
    <w:name w:val="Tabla de cuadrícula 4 - Énfasis 21"/>
    <w:basedOn w:val="Tablanormal"/>
    <w:uiPriority w:val="49"/>
    <w:rsid w:val="009875C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NormalWeb">
    <w:name w:val="Normal (Web)"/>
    <w:basedOn w:val="Normal"/>
    <w:link w:val="NormalWebCar"/>
    <w:uiPriority w:val="99"/>
    <w:rsid w:val="003208B8"/>
    <w:pPr>
      <w:spacing w:before="100" w:beforeAutospacing="1" w:after="100" w:afterAutospacing="1"/>
      <w:jc w:val="both"/>
    </w:pPr>
  </w:style>
  <w:style w:type="paragraph" w:styleId="Descripcin">
    <w:name w:val="caption"/>
    <w:basedOn w:val="Normal"/>
    <w:next w:val="Normal"/>
    <w:link w:val="DescripcinCar"/>
    <w:uiPriority w:val="35"/>
    <w:qFormat/>
    <w:rsid w:val="003208B8"/>
    <w:pPr>
      <w:suppressAutoHyphens/>
      <w:spacing w:line="360" w:lineRule="auto"/>
      <w:jc w:val="both"/>
    </w:pPr>
    <w:rPr>
      <w:rFonts w:ascii="Arial" w:eastAsia="SimSun" w:hAnsi="Arial" w:cs="Mangal"/>
      <w:b/>
      <w:bCs/>
      <w:kern w:val="20"/>
      <w:sz w:val="20"/>
      <w:szCs w:val="20"/>
      <w:lang w:eastAsia="hi-IN" w:bidi="hi-IN"/>
    </w:rPr>
  </w:style>
  <w:style w:type="character" w:customStyle="1" w:styleId="DescripcinCar">
    <w:name w:val="Descripción Car"/>
    <w:link w:val="Descripcin"/>
    <w:uiPriority w:val="35"/>
    <w:rsid w:val="000732E2"/>
    <w:rPr>
      <w:rFonts w:ascii="Arial" w:eastAsia="SimSun" w:hAnsi="Arial" w:cs="Mangal"/>
      <w:b/>
      <w:bCs/>
      <w:kern w:val="20"/>
      <w:sz w:val="20"/>
      <w:szCs w:val="20"/>
      <w:lang w:val="es-ES" w:eastAsia="hi-IN" w:bidi="hi-IN"/>
    </w:rPr>
  </w:style>
  <w:style w:type="paragraph" w:customStyle="1" w:styleId="p">
    <w:name w:val="p"/>
    <w:basedOn w:val="Normal"/>
    <w:rsid w:val="003208B8"/>
    <w:pPr>
      <w:spacing w:before="100" w:beforeAutospacing="1" w:after="100" w:afterAutospacing="1"/>
    </w:pPr>
  </w:style>
  <w:style w:type="paragraph" w:customStyle="1" w:styleId="Cuadrculamedia1-nfasis21">
    <w:name w:val="Cuadrícula media 1 - Énfasis 21"/>
    <w:basedOn w:val="Normal"/>
    <w:link w:val="Cuadrculamedia1-nfasis2Car"/>
    <w:uiPriority w:val="34"/>
    <w:qFormat/>
    <w:rsid w:val="003208B8"/>
    <w:pPr>
      <w:spacing w:line="360" w:lineRule="auto"/>
      <w:ind w:left="720"/>
      <w:contextualSpacing/>
      <w:jc w:val="both"/>
    </w:pPr>
    <w:rPr>
      <w:rFonts w:ascii="Arial" w:eastAsia="Calibri" w:hAnsi="Arial"/>
      <w:sz w:val="20"/>
      <w:szCs w:val="22"/>
      <w:lang w:val="en-GB"/>
    </w:rPr>
  </w:style>
  <w:style w:type="character" w:customStyle="1" w:styleId="Cuadrculamedia1-nfasis2Car">
    <w:name w:val="Cuadrícula media 1 - Énfasis 2 Car"/>
    <w:link w:val="Cuadrculamedia1-nfasis21"/>
    <w:uiPriority w:val="34"/>
    <w:locked/>
    <w:rsid w:val="003208B8"/>
    <w:rPr>
      <w:rFonts w:ascii="Arial" w:eastAsia="Calibri" w:hAnsi="Arial" w:cs="Times New Roman"/>
      <w:sz w:val="20"/>
      <w:szCs w:val="22"/>
      <w:lang w:val="en-GB"/>
    </w:rPr>
  </w:style>
  <w:style w:type="paragraph" w:customStyle="1" w:styleId="StyleRight002Before6ptAfter6pt">
    <w:name w:val="Style Right:  0.02&quot; Before:  6 pt After:  6 pt"/>
    <w:basedOn w:val="Normal"/>
    <w:qFormat/>
    <w:rsid w:val="003208B8"/>
    <w:pPr>
      <w:spacing w:before="120" w:after="120"/>
      <w:ind w:right="29"/>
    </w:pPr>
    <w:rPr>
      <w:rFonts w:cs="Arial"/>
      <w:sz w:val="22"/>
      <w:szCs w:val="20"/>
      <w:lang w:val="en-GB"/>
    </w:rPr>
  </w:style>
  <w:style w:type="paragraph" w:customStyle="1" w:styleId="Default">
    <w:name w:val="Default"/>
    <w:rsid w:val="003208B8"/>
    <w:pPr>
      <w:widowControl w:val="0"/>
      <w:autoSpaceDE w:val="0"/>
      <w:autoSpaceDN w:val="0"/>
      <w:adjustRightInd w:val="0"/>
    </w:pPr>
    <w:rPr>
      <w:rFonts w:ascii="Arial" w:eastAsia="Calibri" w:hAnsi="Arial" w:cs="Arial"/>
      <w:color w:val="000000"/>
      <w:lang w:val="es-ES" w:eastAsia="es-ES"/>
    </w:rPr>
  </w:style>
  <w:style w:type="character" w:customStyle="1" w:styleId="li-content">
    <w:name w:val="li-content"/>
    <w:rsid w:val="003208B8"/>
    <w:rPr>
      <w:color w:val="000000"/>
    </w:rPr>
  </w:style>
  <w:style w:type="table" w:customStyle="1" w:styleId="Tabladecuadrcula4-nfasis31">
    <w:name w:val="Tabla de cuadrícula 4 - Énfasis 31"/>
    <w:basedOn w:val="Tablanormal"/>
    <w:uiPriority w:val="49"/>
    <w:rsid w:val="00DA6A0E"/>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tulo">
    <w:name w:val="Title"/>
    <w:basedOn w:val="Normal"/>
    <w:next w:val="Normal"/>
    <w:link w:val="TtuloCar"/>
    <w:qFormat/>
    <w:rsid w:val="002D1A94"/>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2D1A94"/>
    <w:rPr>
      <w:rFonts w:asciiTheme="majorHAnsi" w:eastAsiaTheme="majorEastAsia" w:hAnsiTheme="majorHAnsi" w:cstheme="majorBidi"/>
      <w:spacing w:val="-10"/>
      <w:kern w:val="28"/>
      <w:sz w:val="56"/>
      <w:szCs w:val="56"/>
    </w:rPr>
  </w:style>
  <w:style w:type="table" w:styleId="Sombreadoclaro-nfasis2">
    <w:name w:val="Light Shading Accent 2"/>
    <w:basedOn w:val="Tablanormal"/>
    <w:uiPriority w:val="60"/>
    <w:rsid w:val="000977B0"/>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paragraph" w:styleId="Textoindependiente">
    <w:name w:val="Body Text"/>
    <w:basedOn w:val="Normal"/>
    <w:link w:val="TextoindependienteCar"/>
    <w:uiPriority w:val="99"/>
    <w:rsid w:val="00EE174D"/>
    <w:pPr>
      <w:widowControl w:val="0"/>
      <w:ind w:left="187"/>
      <w:jc w:val="both"/>
    </w:pPr>
    <w:rPr>
      <w:rFonts w:ascii="Calibri" w:hAnsi="Calibri"/>
      <w:sz w:val="20"/>
      <w:szCs w:val="20"/>
    </w:rPr>
  </w:style>
  <w:style w:type="character" w:customStyle="1" w:styleId="TextoindependienteCar">
    <w:name w:val="Texto independiente Car"/>
    <w:basedOn w:val="Fuentedeprrafopredeter"/>
    <w:link w:val="Textoindependiente"/>
    <w:uiPriority w:val="99"/>
    <w:rsid w:val="00EE174D"/>
    <w:rPr>
      <w:rFonts w:ascii="Calibri" w:eastAsia="Times New Roman" w:hAnsi="Calibri" w:cs="Times New Roman"/>
      <w:sz w:val="20"/>
      <w:szCs w:val="20"/>
      <w:lang w:val="es-ES" w:eastAsia="es-ES"/>
    </w:rPr>
  </w:style>
  <w:style w:type="paragraph" w:customStyle="1" w:styleId="EndNoteBibliographyTitle">
    <w:name w:val="EndNote Bibliography Title"/>
    <w:basedOn w:val="Normal"/>
    <w:link w:val="EndNoteBibliographyTitleChar"/>
    <w:rsid w:val="00EE174D"/>
    <w:pPr>
      <w:spacing w:line="360" w:lineRule="auto"/>
      <w:jc w:val="center"/>
    </w:pPr>
    <w:rPr>
      <w:rFonts w:ascii="Calibri" w:eastAsia="Calibri" w:hAnsi="Calibri"/>
      <w:noProof/>
      <w:sz w:val="20"/>
      <w:szCs w:val="20"/>
    </w:rPr>
  </w:style>
  <w:style w:type="character" w:customStyle="1" w:styleId="EndNoteBibliographyTitleChar">
    <w:name w:val="EndNote Bibliography Title Char"/>
    <w:link w:val="EndNoteBibliographyTitle"/>
    <w:uiPriority w:val="99"/>
    <w:locked/>
    <w:rsid w:val="00EE174D"/>
    <w:rPr>
      <w:rFonts w:ascii="Calibri" w:eastAsia="Calibri" w:hAnsi="Calibri" w:cs="Times New Roman"/>
      <w:noProof/>
      <w:sz w:val="20"/>
      <w:szCs w:val="20"/>
      <w:lang w:val="es-ES" w:eastAsia="es-ES"/>
    </w:rPr>
  </w:style>
  <w:style w:type="paragraph" w:customStyle="1" w:styleId="EndNoteBibliography">
    <w:name w:val="EndNote Bibliography"/>
    <w:basedOn w:val="Normal"/>
    <w:link w:val="EndNoteBibliographyChar"/>
    <w:rsid w:val="00EE174D"/>
    <w:pPr>
      <w:jc w:val="both"/>
    </w:pPr>
    <w:rPr>
      <w:rFonts w:ascii="Calibri" w:eastAsia="Calibri" w:hAnsi="Calibri"/>
      <w:noProof/>
      <w:sz w:val="20"/>
      <w:szCs w:val="20"/>
    </w:rPr>
  </w:style>
  <w:style w:type="character" w:customStyle="1" w:styleId="EndNoteBibliographyChar">
    <w:name w:val="EndNote Bibliography Char"/>
    <w:link w:val="EndNoteBibliography"/>
    <w:uiPriority w:val="99"/>
    <w:locked/>
    <w:rsid w:val="00EE174D"/>
    <w:rPr>
      <w:rFonts w:ascii="Calibri" w:eastAsia="Calibri" w:hAnsi="Calibri" w:cs="Times New Roman"/>
      <w:noProof/>
      <w:sz w:val="20"/>
      <w:szCs w:val="20"/>
      <w:lang w:val="es-ES" w:eastAsia="es-ES"/>
    </w:rPr>
  </w:style>
  <w:style w:type="paragraph" w:customStyle="1" w:styleId="TableParagraph">
    <w:name w:val="Table Paragraph"/>
    <w:basedOn w:val="Normal"/>
    <w:uiPriority w:val="99"/>
    <w:rsid w:val="00EE174D"/>
    <w:pPr>
      <w:widowControl w:val="0"/>
      <w:jc w:val="both"/>
    </w:pPr>
    <w:rPr>
      <w:rFonts w:ascii="Arial" w:eastAsia="Calibri" w:hAnsi="Arial" w:cs="Arial"/>
      <w:sz w:val="20"/>
      <w:szCs w:val="22"/>
      <w:lang w:val="en-GB"/>
    </w:rPr>
  </w:style>
  <w:style w:type="paragraph" w:customStyle="1" w:styleId="Titulo">
    <w:name w:val="Titulo"/>
    <w:basedOn w:val="Normal"/>
    <w:next w:val="Normal"/>
    <w:uiPriority w:val="99"/>
    <w:rsid w:val="00EE174D"/>
    <w:pPr>
      <w:spacing w:line="360" w:lineRule="auto"/>
      <w:jc w:val="center"/>
    </w:pPr>
    <w:rPr>
      <w:rFonts w:ascii="Arial" w:hAnsi="Arial"/>
      <w:b/>
      <w:sz w:val="32"/>
    </w:rPr>
  </w:style>
  <w:style w:type="paragraph" w:customStyle="1" w:styleId="Normalprotocolodefinitivo">
    <w:name w:val="Normal protocolo definitivo"/>
    <w:basedOn w:val="Normal"/>
    <w:link w:val="NormalprotocolodefinitivoCar"/>
    <w:rsid w:val="00EE174D"/>
    <w:pPr>
      <w:spacing w:line="360" w:lineRule="auto"/>
      <w:jc w:val="both"/>
    </w:pPr>
    <w:rPr>
      <w:rFonts w:ascii="Arial" w:eastAsia="Calibri" w:hAnsi="Arial"/>
      <w:szCs w:val="20"/>
    </w:rPr>
  </w:style>
  <w:style w:type="character" w:customStyle="1" w:styleId="NormalprotocolodefinitivoCar">
    <w:name w:val="Normal protocolo definitivo Car"/>
    <w:link w:val="Normalprotocolodefinitivo"/>
    <w:locked/>
    <w:rsid w:val="00EE174D"/>
    <w:rPr>
      <w:rFonts w:ascii="Arial" w:eastAsia="Calibri" w:hAnsi="Arial" w:cs="Times New Roman"/>
      <w:szCs w:val="20"/>
      <w:lang w:val="es-ES" w:eastAsia="es-ES"/>
    </w:rPr>
  </w:style>
  <w:style w:type="paragraph" w:customStyle="1" w:styleId="Contrato">
    <w:name w:val="Contrato"/>
    <w:basedOn w:val="Normal"/>
    <w:rsid w:val="00EE174D"/>
    <w:pPr>
      <w:numPr>
        <w:numId w:val="2"/>
      </w:numPr>
      <w:spacing w:line="360" w:lineRule="auto"/>
      <w:jc w:val="both"/>
    </w:pPr>
    <w:rPr>
      <w:rFonts w:ascii="Arial" w:hAnsi="Arial"/>
      <w:sz w:val="20"/>
    </w:rPr>
  </w:style>
  <w:style w:type="character" w:customStyle="1" w:styleId="hitorg">
    <w:name w:val="hit_org"/>
    <w:uiPriority w:val="99"/>
    <w:rsid w:val="00EE174D"/>
  </w:style>
  <w:style w:type="character" w:customStyle="1" w:styleId="TextonotapieCar">
    <w:name w:val="Texto nota pie Car"/>
    <w:basedOn w:val="Fuentedeprrafopredeter"/>
    <w:link w:val="Textonotapie"/>
    <w:uiPriority w:val="99"/>
    <w:semiHidden/>
    <w:rsid w:val="00EE174D"/>
    <w:rPr>
      <w:rFonts w:ascii="Arial" w:eastAsia="Calibri" w:hAnsi="Arial" w:cs="Times New Roman"/>
      <w:sz w:val="20"/>
      <w:szCs w:val="20"/>
      <w:lang w:val="en-GB"/>
    </w:rPr>
  </w:style>
  <w:style w:type="paragraph" w:styleId="Textonotapie">
    <w:name w:val="footnote text"/>
    <w:basedOn w:val="Normal"/>
    <w:link w:val="TextonotapieCar"/>
    <w:uiPriority w:val="99"/>
    <w:semiHidden/>
    <w:rsid w:val="00EE174D"/>
    <w:pPr>
      <w:spacing w:line="360" w:lineRule="auto"/>
      <w:jc w:val="both"/>
    </w:pPr>
    <w:rPr>
      <w:rFonts w:ascii="Arial" w:eastAsia="Calibri" w:hAnsi="Arial"/>
      <w:sz w:val="20"/>
      <w:szCs w:val="20"/>
      <w:lang w:val="en-GB"/>
    </w:rPr>
  </w:style>
  <w:style w:type="paragraph" w:customStyle="1" w:styleId="Synopsis">
    <w:name w:val="Synopsis"/>
    <w:basedOn w:val="Normal"/>
    <w:uiPriority w:val="99"/>
    <w:rsid w:val="00EE174D"/>
    <w:pPr>
      <w:spacing w:before="120"/>
      <w:jc w:val="both"/>
    </w:pPr>
    <w:rPr>
      <w:rFonts w:ascii="Arial" w:hAnsi="Arial"/>
      <w:sz w:val="20"/>
      <w:szCs w:val="20"/>
      <w:lang w:val="en-GB"/>
    </w:rPr>
  </w:style>
  <w:style w:type="character" w:styleId="CitaHTML">
    <w:name w:val="HTML Cite"/>
    <w:basedOn w:val="Fuentedeprrafopredeter"/>
    <w:uiPriority w:val="99"/>
    <w:rsid w:val="00EE174D"/>
    <w:rPr>
      <w:rFonts w:cs="Times New Roman"/>
      <w:i/>
    </w:rPr>
  </w:style>
  <w:style w:type="character" w:customStyle="1" w:styleId="cit-source">
    <w:name w:val="cit-source"/>
    <w:uiPriority w:val="99"/>
    <w:rsid w:val="00EE174D"/>
  </w:style>
  <w:style w:type="character" w:customStyle="1" w:styleId="cit-vol">
    <w:name w:val="cit-vol"/>
    <w:uiPriority w:val="99"/>
    <w:rsid w:val="00EE174D"/>
  </w:style>
  <w:style w:type="character" w:customStyle="1" w:styleId="cit-fpage">
    <w:name w:val="cit-fpage"/>
    <w:uiPriority w:val="99"/>
    <w:rsid w:val="00EE174D"/>
  </w:style>
  <w:style w:type="character" w:customStyle="1" w:styleId="cit-pub-date">
    <w:name w:val="cit-pub-date"/>
    <w:uiPriority w:val="99"/>
    <w:rsid w:val="00EE174D"/>
  </w:style>
  <w:style w:type="character" w:customStyle="1" w:styleId="cit-reflinks-abstract">
    <w:name w:val="cit-reflinks-abstract"/>
    <w:uiPriority w:val="99"/>
    <w:rsid w:val="00EE174D"/>
  </w:style>
  <w:style w:type="character" w:customStyle="1" w:styleId="cit-sepcit-reflinks-variant-name-sep">
    <w:name w:val="cit-sep cit-reflinks-variant-name-sep"/>
    <w:uiPriority w:val="99"/>
    <w:rsid w:val="00EE174D"/>
  </w:style>
  <w:style w:type="character" w:customStyle="1" w:styleId="cit-reflinks-full-text">
    <w:name w:val="cit-reflinks-full-text"/>
    <w:uiPriority w:val="99"/>
    <w:rsid w:val="00EE174D"/>
  </w:style>
  <w:style w:type="character" w:customStyle="1" w:styleId="free-full-text">
    <w:name w:val="free-full-text"/>
    <w:uiPriority w:val="99"/>
    <w:rsid w:val="00EE174D"/>
  </w:style>
  <w:style w:type="character" w:customStyle="1" w:styleId="hitinf1">
    <w:name w:val="hit_inf1"/>
    <w:uiPriority w:val="99"/>
    <w:rsid w:val="00EE174D"/>
    <w:rPr>
      <w:b/>
      <w:shd w:val="clear" w:color="auto" w:fill="FFEEDD"/>
    </w:rPr>
  </w:style>
  <w:style w:type="paragraph" w:customStyle="1" w:styleId="TableContents">
    <w:name w:val="Table Contents"/>
    <w:basedOn w:val="Normal"/>
    <w:uiPriority w:val="99"/>
    <w:rsid w:val="00EE174D"/>
    <w:pPr>
      <w:widowControl w:val="0"/>
      <w:suppressLineNumbers/>
      <w:suppressAutoHyphens/>
      <w:jc w:val="both"/>
    </w:pPr>
    <w:rPr>
      <w:rFonts w:ascii="Arial" w:eastAsia="Calibri" w:hAnsi="Arial" w:cs="FreeSans"/>
      <w:kern w:val="1"/>
      <w:sz w:val="20"/>
      <w:lang w:val="ca-ES" w:eastAsia="hi-IN" w:bidi="hi-IN"/>
    </w:rPr>
  </w:style>
  <w:style w:type="paragraph" w:styleId="TDC1">
    <w:name w:val="toc 1"/>
    <w:basedOn w:val="Normal"/>
    <w:next w:val="Normal"/>
    <w:autoRedefine/>
    <w:uiPriority w:val="39"/>
    <w:rsid w:val="00AB0B46"/>
    <w:pPr>
      <w:tabs>
        <w:tab w:val="left" w:pos="480"/>
        <w:tab w:val="right" w:leader="dot" w:pos="8488"/>
      </w:tabs>
      <w:spacing w:before="120"/>
    </w:pPr>
    <w:rPr>
      <w:b/>
      <w:bCs/>
      <w:caps/>
      <w:sz w:val="22"/>
      <w:szCs w:val="22"/>
    </w:rPr>
  </w:style>
  <w:style w:type="paragraph" w:styleId="TDC2">
    <w:name w:val="toc 2"/>
    <w:basedOn w:val="Normal"/>
    <w:next w:val="Normal"/>
    <w:autoRedefine/>
    <w:uiPriority w:val="39"/>
    <w:rsid w:val="00EE174D"/>
    <w:pPr>
      <w:ind w:left="240"/>
    </w:pPr>
    <w:rPr>
      <w:smallCaps/>
      <w:sz w:val="22"/>
      <w:szCs w:val="22"/>
    </w:rPr>
  </w:style>
  <w:style w:type="paragraph" w:customStyle="1" w:styleId="Normal1">
    <w:name w:val="Normal1"/>
    <w:uiPriority w:val="99"/>
    <w:rsid w:val="00EE174D"/>
    <w:pPr>
      <w:widowControl w:val="0"/>
      <w:suppressAutoHyphens/>
      <w:spacing w:line="100" w:lineRule="atLeast"/>
      <w:textAlignment w:val="baseline"/>
    </w:pPr>
    <w:rPr>
      <w:rFonts w:ascii="Arial" w:eastAsia="Calibri" w:hAnsi="Arial" w:cs="FreeSans"/>
      <w:kern w:val="1"/>
      <w:sz w:val="21"/>
      <w:lang w:val="ca-ES" w:eastAsia="hi-IN" w:bidi="hi-IN"/>
    </w:rPr>
  </w:style>
  <w:style w:type="paragraph" w:customStyle="1" w:styleId="Cuerpo">
    <w:name w:val="Cuerpo"/>
    <w:uiPriority w:val="99"/>
    <w:rsid w:val="00EE174D"/>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eastAsia="Arial Unicode MS" w:hAnsi="Arial Unicode MS" w:cs="Arial Unicode MS"/>
      <w:color w:val="000000"/>
      <w:sz w:val="22"/>
      <w:szCs w:val="22"/>
      <w:lang w:val="es-ES" w:eastAsia="es-ES"/>
    </w:rPr>
  </w:style>
  <w:style w:type="paragraph" w:customStyle="1" w:styleId="Estilodetabla2">
    <w:name w:val="Estilo de tabla 2"/>
    <w:uiPriority w:val="99"/>
    <w:rsid w:val="00EE174D"/>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eastAsia="Times New Roman" w:hAnsi="Helvetica" w:cs="Helvetica"/>
      <w:color w:val="000000"/>
      <w:sz w:val="20"/>
      <w:szCs w:val="20"/>
      <w:lang w:val="es-ES" w:eastAsia="es-ES"/>
    </w:rPr>
  </w:style>
  <w:style w:type="character" w:customStyle="1" w:styleId="hps">
    <w:name w:val="hps"/>
    <w:uiPriority w:val="99"/>
    <w:rsid w:val="00EE174D"/>
  </w:style>
  <w:style w:type="character" w:customStyle="1" w:styleId="hpsatn">
    <w:name w:val="hps atn"/>
    <w:uiPriority w:val="99"/>
    <w:rsid w:val="00EE174D"/>
  </w:style>
  <w:style w:type="character" w:customStyle="1" w:styleId="shorttext">
    <w:name w:val="short_text"/>
    <w:uiPriority w:val="99"/>
    <w:rsid w:val="00EE174D"/>
  </w:style>
  <w:style w:type="paragraph" w:customStyle="1" w:styleId="Title2wn">
    <w:name w:val="Title 2 wn"/>
    <w:basedOn w:val="Ttulo2"/>
    <w:next w:val="Normal"/>
    <w:uiPriority w:val="99"/>
    <w:rsid w:val="00EE174D"/>
    <w:pPr>
      <w:numPr>
        <w:ilvl w:val="0"/>
        <w:numId w:val="0"/>
      </w:numPr>
      <w:tabs>
        <w:tab w:val="num" w:pos="284"/>
      </w:tabs>
      <w:ind w:left="284" w:hanging="284"/>
    </w:pPr>
    <w:rPr>
      <w:rFonts w:eastAsia="SimSun"/>
      <w:kern w:val="20"/>
      <w:sz w:val="24"/>
      <w:lang w:eastAsia="hi-IN" w:bidi="hi-IN"/>
    </w:rPr>
  </w:style>
  <w:style w:type="paragraph" w:customStyle="1" w:styleId="Estilo1">
    <w:name w:val="Estilo1"/>
    <w:basedOn w:val="Normal"/>
    <w:uiPriority w:val="99"/>
    <w:rsid w:val="00EE174D"/>
    <w:pPr>
      <w:numPr>
        <w:numId w:val="3"/>
      </w:numPr>
      <w:suppressAutoHyphens/>
      <w:spacing w:line="360" w:lineRule="auto"/>
      <w:jc w:val="both"/>
    </w:pPr>
    <w:rPr>
      <w:rFonts w:ascii="Arial" w:eastAsia="SimSun" w:hAnsi="Arial" w:cs="Mangal"/>
      <w:kern w:val="20"/>
      <w:sz w:val="20"/>
      <w:lang w:eastAsia="hi-IN" w:bidi="hi-IN"/>
    </w:rPr>
  </w:style>
  <w:style w:type="paragraph" w:customStyle="1" w:styleId="TableCellLeft">
    <w:name w:val="Table Cell Left"/>
    <w:basedOn w:val="Normal"/>
    <w:link w:val="TableCellLeftChar"/>
    <w:uiPriority w:val="99"/>
    <w:rsid w:val="00EE174D"/>
    <w:pPr>
      <w:keepNext/>
      <w:keepLines/>
      <w:spacing w:before="50" w:after="50" w:line="240" w:lineRule="exact"/>
      <w:jc w:val="both"/>
    </w:pPr>
    <w:rPr>
      <w:rFonts w:ascii="Arial" w:eastAsia="SimSun" w:hAnsi="Arial"/>
      <w:sz w:val="20"/>
      <w:szCs w:val="20"/>
      <w:lang w:val="en-GB"/>
    </w:rPr>
  </w:style>
  <w:style w:type="character" w:customStyle="1" w:styleId="TableCellLeftChar">
    <w:name w:val="Table Cell Left Char"/>
    <w:link w:val="TableCellLeft"/>
    <w:uiPriority w:val="99"/>
    <w:locked/>
    <w:rsid w:val="00EE174D"/>
    <w:rPr>
      <w:rFonts w:ascii="Arial" w:eastAsia="SimSun" w:hAnsi="Arial" w:cs="Times New Roman"/>
      <w:sz w:val="20"/>
      <w:szCs w:val="20"/>
      <w:lang w:val="en-GB"/>
    </w:rPr>
  </w:style>
  <w:style w:type="paragraph" w:customStyle="1" w:styleId="Normalprotocol">
    <w:name w:val="Normal protocol"/>
    <w:basedOn w:val="Normal"/>
    <w:uiPriority w:val="99"/>
    <w:rsid w:val="00EE174D"/>
    <w:pPr>
      <w:suppressAutoHyphens/>
      <w:spacing w:line="360" w:lineRule="auto"/>
      <w:jc w:val="both"/>
    </w:pPr>
    <w:rPr>
      <w:rFonts w:ascii="Arial" w:eastAsia="SimSun" w:hAnsi="Arial"/>
      <w:color w:val="000000"/>
      <w:kern w:val="20"/>
      <w:sz w:val="20"/>
      <w:szCs w:val="20"/>
      <w:lang w:eastAsia="hi-IN" w:bidi="hi-IN"/>
    </w:rPr>
  </w:style>
  <w:style w:type="paragraph" w:customStyle="1" w:styleId="Prrafodelista2">
    <w:name w:val="Párrafo de lista2"/>
    <w:basedOn w:val="Normal"/>
    <w:uiPriority w:val="99"/>
    <w:rsid w:val="00EE174D"/>
    <w:pPr>
      <w:suppressAutoHyphens/>
      <w:spacing w:line="360" w:lineRule="auto"/>
      <w:ind w:left="720"/>
      <w:contextualSpacing/>
      <w:jc w:val="both"/>
    </w:pPr>
    <w:rPr>
      <w:rFonts w:ascii="Arial" w:eastAsia="SimSun" w:hAnsi="Arial" w:cs="Mangal"/>
      <w:kern w:val="20"/>
      <w:sz w:val="20"/>
      <w:lang w:eastAsia="hi-IN" w:bidi="hi-IN"/>
    </w:rPr>
  </w:style>
  <w:style w:type="paragraph" w:customStyle="1" w:styleId="Textosinformato1">
    <w:name w:val="Texto sin formato1"/>
    <w:basedOn w:val="Normal"/>
    <w:uiPriority w:val="99"/>
    <w:rsid w:val="00EE174D"/>
    <w:pPr>
      <w:suppressAutoHyphens/>
      <w:jc w:val="both"/>
    </w:pPr>
    <w:rPr>
      <w:rFonts w:ascii="Courier New" w:hAnsi="Courier New" w:cs="Courier New"/>
      <w:kern w:val="20"/>
      <w:sz w:val="20"/>
      <w:szCs w:val="20"/>
      <w:lang w:eastAsia="hi-IN" w:bidi="hi-IN"/>
    </w:rPr>
  </w:style>
  <w:style w:type="paragraph" w:customStyle="1" w:styleId="BodyTIndent5">
    <w:name w:val="Body T Indent .5"/>
    <w:aliases w:val="btih"/>
    <w:basedOn w:val="Normal"/>
    <w:link w:val="BodyTIndent5Char"/>
    <w:rsid w:val="00EE174D"/>
    <w:pPr>
      <w:spacing w:before="120" w:after="120"/>
      <w:ind w:right="29"/>
      <w:jc w:val="both"/>
    </w:pPr>
    <w:rPr>
      <w:rFonts w:eastAsia="Calibri"/>
      <w:sz w:val="22"/>
      <w:szCs w:val="20"/>
    </w:rPr>
  </w:style>
  <w:style w:type="character" w:customStyle="1" w:styleId="BodyTIndent5Char">
    <w:name w:val="Body T Indent .5 Char"/>
    <w:aliases w:val="btih Char"/>
    <w:link w:val="BodyTIndent5"/>
    <w:locked/>
    <w:rsid w:val="00EE174D"/>
    <w:rPr>
      <w:rFonts w:ascii="Times New Roman" w:eastAsia="Calibri" w:hAnsi="Times New Roman" w:cs="Times New Roman"/>
      <w:sz w:val="22"/>
      <w:szCs w:val="20"/>
      <w:lang w:val="es-ES" w:eastAsia="es-ES"/>
    </w:rPr>
  </w:style>
  <w:style w:type="paragraph" w:styleId="TtuloTDC">
    <w:name w:val="TOC Heading"/>
    <w:basedOn w:val="Ttulo1"/>
    <w:next w:val="Normal"/>
    <w:uiPriority w:val="99"/>
    <w:qFormat/>
    <w:rsid w:val="00EE174D"/>
    <w:pPr>
      <w:keepLines/>
      <w:spacing w:line="259" w:lineRule="auto"/>
      <w:jc w:val="left"/>
      <w:outlineLvl w:val="9"/>
    </w:pPr>
    <w:rPr>
      <w:rFonts w:ascii="Calibri Light" w:hAnsi="Calibri Light"/>
      <w:b/>
      <w:bCs w:val="0"/>
      <w:color w:val="2E74B5"/>
      <w:kern w:val="0"/>
    </w:rPr>
  </w:style>
  <w:style w:type="paragraph" w:styleId="HTMLconformatoprevio">
    <w:name w:val="HTML Preformatted"/>
    <w:basedOn w:val="Normal"/>
    <w:link w:val="HTMLconformatoprevioCar"/>
    <w:uiPriority w:val="99"/>
    <w:rsid w:val="00EE17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Calibri" w:hAnsi="Courier New"/>
      <w:sz w:val="20"/>
      <w:szCs w:val="20"/>
      <w:lang w:val="en-GB"/>
    </w:rPr>
  </w:style>
  <w:style w:type="character" w:customStyle="1" w:styleId="HTMLconformatoprevioCar">
    <w:name w:val="HTML con formato previo Car"/>
    <w:basedOn w:val="Fuentedeprrafopredeter"/>
    <w:link w:val="HTMLconformatoprevio"/>
    <w:uiPriority w:val="99"/>
    <w:rsid w:val="00EE174D"/>
    <w:rPr>
      <w:rFonts w:ascii="Courier New" w:eastAsia="Calibri" w:hAnsi="Courier New" w:cs="Times New Roman"/>
      <w:sz w:val="20"/>
      <w:szCs w:val="20"/>
      <w:lang w:val="en-GB"/>
    </w:rPr>
  </w:style>
  <w:style w:type="paragraph" w:styleId="TDC3">
    <w:name w:val="toc 3"/>
    <w:basedOn w:val="Normal"/>
    <w:next w:val="Normal"/>
    <w:autoRedefine/>
    <w:uiPriority w:val="39"/>
    <w:rsid w:val="00EE174D"/>
    <w:pPr>
      <w:ind w:left="480"/>
    </w:pPr>
    <w:rPr>
      <w:i/>
      <w:iCs/>
      <w:sz w:val="22"/>
      <w:szCs w:val="22"/>
    </w:rPr>
  </w:style>
  <w:style w:type="paragraph" w:customStyle="1" w:styleId="BodyText12">
    <w:name w:val="BodyText12"/>
    <w:rsid w:val="00EE174D"/>
    <w:pPr>
      <w:spacing w:after="120"/>
      <w:ind w:left="709"/>
      <w:jc w:val="both"/>
    </w:pPr>
    <w:rPr>
      <w:rFonts w:ascii="Times New Roman" w:eastAsia="Times New Roman" w:hAnsi="Times New Roman" w:cs="Times New Roman"/>
      <w:kern w:val="1"/>
      <w:sz w:val="22"/>
      <w:szCs w:val="23"/>
      <w:lang w:val="en-GB"/>
    </w:rPr>
  </w:style>
  <w:style w:type="paragraph" w:customStyle="1" w:styleId="BulletIndent1">
    <w:name w:val="Bullet Indent 1"/>
    <w:rsid w:val="00EE174D"/>
    <w:pPr>
      <w:numPr>
        <w:numId w:val="4"/>
      </w:numPr>
      <w:tabs>
        <w:tab w:val="clear" w:pos="360"/>
        <w:tab w:val="left" w:pos="1138"/>
      </w:tabs>
      <w:spacing w:after="100"/>
      <w:ind w:left="1138" w:hanging="288"/>
      <w:jc w:val="both"/>
    </w:pPr>
    <w:rPr>
      <w:rFonts w:ascii="Times New Roman" w:eastAsia="Times New Roman" w:hAnsi="Times New Roman" w:cs="Times New Roman"/>
      <w:szCs w:val="20"/>
      <w:lang w:val="en-US"/>
    </w:rPr>
  </w:style>
  <w:style w:type="character" w:customStyle="1" w:styleId="ActionRequired">
    <w:name w:val="Action Required"/>
    <w:basedOn w:val="Fuentedeprrafopredeter"/>
    <w:rsid w:val="00EE174D"/>
    <w:rPr>
      <w:color w:val="008000"/>
    </w:rPr>
  </w:style>
  <w:style w:type="paragraph" w:customStyle="1" w:styleId="yiv9892062734msonormal">
    <w:name w:val="yiv9892062734msonormal"/>
    <w:basedOn w:val="Normal"/>
    <w:rsid w:val="00EE174D"/>
    <w:pPr>
      <w:suppressAutoHyphens/>
      <w:autoSpaceDN w:val="0"/>
      <w:spacing w:before="100" w:after="100"/>
      <w:textAlignment w:val="baseline"/>
    </w:pPr>
  </w:style>
  <w:style w:type="paragraph" w:styleId="Subttulo">
    <w:name w:val="Subtitle"/>
    <w:basedOn w:val="Normal"/>
    <w:next w:val="Normal"/>
    <w:link w:val="SubttuloCar"/>
    <w:qFormat/>
    <w:rsid w:val="00EE174D"/>
    <w:pPr>
      <w:numPr>
        <w:ilvl w:val="1"/>
      </w:numPr>
      <w:spacing w:after="160" w:line="360" w:lineRule="auto"/>
      <w:jc w:val="both"/>
    </w:pPr>
    <w:rPr>
      <w:rFonts w:eastAsiaTheme="minorEastAsia"/>
      <w:color w:val="5A5A5A" w:themeColor="text1" w:themeTint="A5"/>
      <w:spacing w:val="15"/>
      <w:sz w:val="22"/>
      <w:szCs w:val="22"/>
      <w:lang w:val="en-GB"/>
    </w:rPr>
  </w:style>
  <w:style w:type="character" w:customStyle="1" w:styleId="SubttuloCar">
    <w:name w:val="Subtítulo Car"/>
    <w:basedOn w:val="Fuentedeprrafopredeter"/>
    <w:link w:val="Subttulo"/>
    <w:rsid w:val="00EE174D"/>
    <w:rPr>
      <w:rFonts w:eastAsiaTheme="minorEastAsia"/>
      <w:color w:val="5A5A5A" w:themeColor="text1" w:themeTint="A5"/>
      <w:spacing w:val="15"/>
      <w:sz w:val="22"/>
      <w:szCs w:val="22"/>
      <w:lang w:val="en-GB"/>
    </w:rPr>
  </w:style>
  <w:style w:type="paragraph" w:customStyle="1" w:styleId="Bibliografa1">
    <w:name w:val="Bibliografía1"/>
    <w:basedOn w:val="Normal"/>
    <w:rsid w:val="00EE174D"/>
    <w:pPr>
      <w:spacing w:before="120"/>
      <w:ind w:left="720" w:hanging="720"/>
      <w:jc w:val="both"/>
    </w:pPr>
    <w:rPr>
      <w:rFonts w:ascii="Arial" w:eastAsia="Calibri" w:hAnsi="Arial" w:cs="Arial"/>
      <w:sz w:val="22"/>
      <w:szCs w:val="22"/>
      <w:lang w:val="en-GB"/>
    </w:rPr>
  </w:style>
  <w:style w:type="character" w:customStyle="1" w:styleId="MapadeldocumentoCar">
    <w:name w:val="Mapa del documento Car"/>
    <w:basedOn w:val="Fuentedeprrafopredeter"/>
    <w:link w:val="Mapadeldocumento"/>
    <w:uiPriority w:val="99"/>
    <w:semiHidden/>
    <w:rsid w:val="00EE174D"/>
    <w:rPr>
      <w:rFonts w:ascii="Lucida Grande" w:eastAsia="Calibri" w:hAnsi="Lucida Grande" w:cs="Lucida Grande"/>
      <w:lang w:val="en-GB"/>
    </w:rPr>
  </w:style>
  <w:style w:type="paragraph" w:styleId="Mapadeldocumento">
    <w:name w:val="Document Map"/>
    <w:basedOn w:val="Normal"/>
    <w:link w:val="MapadeldocumentoCar"/>
    <w:uiPriority w:val="99"/>
    <w:semiHidden/>
    <w:unhideWhenUsed/>
    <w:rsid w:val="00EE174D"/>
    <w:pPr>
      <w:jc w:val="both"/>
    </w:pPr>
    <w:rPr>
      <w:rFonts w:ascii="Lucida Grande" w:eastAsia="Calibri" w:hAnsi="Lucida Grande" w:cs="Lucida Grande"/>
      <w:lang w:val="en-GB"/>
    </w:rPr>
  </w:style>
  <w:style w:type="paragraph" w:customStyle="1" w:styleId="Listavistosa-nfasis11">
    <w:name w:val="Lista vistosa - Énfasis 11"/>
    <w:basedOn w:val="Normal"/>
    <w:uiPriority w:val="34"/>
    <w:unhideWhenUsed/>
    <w:qFormat/>
    <w:rsid w:val="00EE174D"/>
    <w:pPr>
      <w:spacing w:line="360" w:lineRule="auto"/>
      <w:ind w:left="720"/>
      <w:contextualSpacing/>
      <w:jc w:val="both"/>
    </w:pPr>
    <w:rPr>
      <w:rFonts w:ascii="Calibri" w:hAnsi="Calibri"/>
      <w:sz w:val="20"/>
    </w:rPr>
  </w:style>
  <w:style w:type="character" w:customStyle="1" w:styleId="table">
    <w:name w:val="table"/>
    <w:basedOn w:val="Fuentedeprrafopredeter"/>
    <w:rsid w:val="00EE174D"/>
  </w:style>
  <w:style w:type="character" w:customStyle="1" w:styleId="figuretitle">
    <w:name w:val="figuretitle"/>
    <w:basedOn w:val="Fuentedeprrafopredeter"/>
    <w:rsid w:val="00EE174D"/>
  </w:style>
  <w:style w:type="character" w:customStyle="1" w:styleId="figurecaption">
    <w:name w:val="figurecaption"/>
    <w:basedOn w:val="Fuentedeprrafopredeter"/>
    <w:rsid w:val="00EE174D"/>
  </w:style>
  <w:style w:type="paragraph" w:styleId="TDC4">
    <w:name w:val="toc 4"/>
    <w:basedOn w:val="Normal"/>
    <w:next w:val="Normal"/>
    <w:autoRedefine/>
    <w:uiPriority w:val="39"/>
    <w:unhideWhenUsed/>
    <w:rsid w:val="00EE174D"/>
    <w:pPr>
      <w:ind w:left="720"/>
    </w:pPr>
    <w:rPr>
      <w:sz w:val="18"/>
      <w:szCs w:val="18"/>
    </w:rPr>
  </w:style>
  <w:style w:type="paragraph" w:styleId="TDC5">
    <w:name w:val="toc 5"/>
    <w:basedOn w:val="Normal"/>
    <w:next w:val="Normal"/>
    <w:autoRedefine/>
    <w:uiPriority w:val="39"/>
    <w:unhideWhenUsed/>
    <w:rsid w:val="00EE174D"/>
    <w:pPr>
      <w:ind w:left="960"/>
    </w:pPr>
    <w:rPr>
      <w:sz w:val="18"/>
      <w:szCs w:val="18"/>
    </w:rPr>
  </w:style>
  <w:style w:type="paragraph" w:styleId="TDC6">
    <w:name w:val="toc 6"/>
    <w:basedOn w:val="Normal"/>
    <w:next w:val="Normal"/>
    <w:autoRedefine/>
    <w:uiPriority w:val="39"/>
    <w:unhideWhenUsed/>
    <w:rsid w:val="00EE174D"/>
    <w:pPr>
      <w:ind w:left="1200"/>
    </w:pPr>
    <w:rPr>
      <w:sz w:val="18"/>
      <w:szCs w:val="18"/>
    </w:rPr>
  </w:style>
  <w:style w:type="paragraph" w:styleId="TDC7">
    <w:name w:val="toc 7"/>
    <w:basedOn w:val="Normal"/>
    <w:next w:val="Normal"/>
    <w:autoRedefine/>
    <w:uiPriority w:val="39"/>
    <w:unhideWhenUsed/>
    <w:rsid w:val="00EE174D"/>
    <w:pPr>
      <w:ind w:left="1440"/>
    </w:pPr>
    <w:rPr>
      <w:sz w:val="18"/>
      <w:szCs w:val="18"/>
    </w:rPr>
  </w:style>
  <w:style w:type="paragraph" w:styleId="TDC8">
    <w:name w:val="toc 8"/>
    <w:basedOn w:val="Normal"/>
    <w:next w:val="Normal"/>
    <w:autoRedefine/>
    <w:uiPriority w:val="39"/>
    <w:unhideWhenUsed/>
    <w:rsid w:val="00EE174D"/>
    <w:pPr>
      <w:ind w:left="1680"/>
    </w:pPr>
    <w:rPr>
      <w:sz w:val="18"/>
      <w:szCs w:val="18"/>
    </w:rPr>
  </w:style>
  <w:style w:type="paragraph" w:styleId="TDC9">
    <w:name w:val="toc 9"/>
    <w:basedOn w:val="Normal"/>
    <w:next w:val="Normal"/>
    <w:autoRedefine/>
    <w:uiPriority w:val="39"/>
    <w:unhideWhenUsed/>
    <w:rsid w:val="00EE174D"/>
    <w:pPr>
      <w:ind w:left="1920"/>
    </w:pPr>
    <w:rPr>
      <w:sz w:val="18"/>
      <w:szCs w:val="18"/>
    </w:rPr>
  </w:style>
  <w:style w:type="paragraph" w:customStyle="1" w:styleId="C-Heading1">
    <w:name w:val="C-Heading 1"/>
    <w:next w:val="Normal"/>
    <w:rsid w:val="00EE174D"/>
    <w:pPr>
      <w:keepNext/>
      <w:pageBreakBefore/>
      <w:tabs>
        <w:tab w:val="num" w:pos="1080"/>
      </w:tabs>
      <w:spacing w:before="180" w:after="120"/>
      <w:ind w:left="1080" w:hanging="1080"/>
      <w:outlineLvl w:val="0"/>
    </w:pPr>
    <w:rPr>
      <w:rFonts w:ascii="Times New Roman" w:eastAsia="Times New Roman" w:hAnsi="Times New Roman" w:cs="Times New Roman"/>
      <w:b/>
      <w:caps/>
      <w:sz w:val="28"/>
      <w:szCs w:val="20"/>
      <w:lang w:val="en-US"/>
    </w:rPr>
  </w:style>
  <w:style w:type="paragraph" w:customStyle="1" w:styleId="C-Heading2">
    <w:name w:val="C-Heading 2"/>
    <w:next w:val="Normal"/>
    <w:rsid w:val="00EE174D"/>
    <w:pPr>
      <w:keepNext/>
      <w:tabs>
        <w:tab w:val="num" w:pos="1080"/>
      </w:tabs>
      <w:spacing w:before="120" w:after="120"/>
      <w:ind w:left="1080" w:hanging="1080"/>
      <w:outlineLvl w:val="1"/>
    </w:pPr>
    <w:rPr>
      <w:rFonts w:ascii="Times New Roman" w:eastAsia="Times New Roman" w:hAnsi="Times New Roman" w:cs="Times New Roman"/>
      <w:b/>
      <w:sz w:val="28"/>
      <w:szCs w:val="20"/>
      <w:lang w:val="en-US"/>
    </w:rPr>
  </w:style>
  <w:style w:type="paragraph" w:customStyle="1" w:styleId="C-Heading3">
    <w:name w:val="C-Heading 3"/>
    <w:next w:val="Normal"/>
    <w:rsid w:val="00EE174D"/>
    <w:pPr>
      <w:keepNext/>
      <w:numPr>
        <w:ilvl w:val="2"/>
        <w:numId w:val="5"/>
      </w:numPr>
      <w:spacing w:before="120" w:after="120"/>
      <w:outlineLvl w:val="2"/>
    </w:pPr>
    <w:rPr>
      <w:rFonts w:ascii="Times New Roman" w:eastAsia="Times New Roman" w:hAnsi="Times New Roman" w:cs="Times New Roman"/>
      <w:b/>
      <w:szCs w:val="20"/>
      <w:lang w:val="en-US"/>
    </w:rPr>
  </w:style>
  <w:style w:type="paragraph" w:customStyle="1" w:styleId="C-Heading4">
    <w:name w:val="C-Heading 4"/>
    <w:next w:val="Normal"/>
    <w:rsid w:val="00EE174D"/>
    <w:pPr>
      <w:keepNext/>
      <w:tabs>
        <w:tab w:val="num" w:pos="1080"/>
      </w:tabs>
      <w:spacing w:before="120" w:after="120"/>
      <w:ind w:left="1080" w:hanging="1080"/>
      <w:outlineLvl w:val="3"/>
    </w:pPr>
    <w:rPr>
      <w:rFonts w:ascii="Times New Roman" w:eastAsia="Times New Roman" w:hAnsi="Times New Roman" w:cs="Times New Roman"/>
      <w:b/>
      <w:szCs w:val="20"/>
      <w:lang w:val="en-US"/>
    </w:rPr>
  </w:style>
  <w:style w:type="paragraph" w:customStyle="1" w:styleId="C-Heading5">
    <w:name w:val="C-Heading 5"/>
    <w:next w:val="Normal"/>
    <w:rsid w:val="00EE174D"/>
    <w:pPr>
      <w:keepNext/>
      <w:tabs>
        <w:tab w:val="num" w:pos="1080"/>
      </w:tabs>
      <w:spacing w:before="120" w:after="120"/>
      <w:ind w:left="1080" w:hanging="1080"/>
      <w:outlineLvl w:val="4"/>
    </w:pPr>
    <w:rPr>
      <w:rFonts w:ascii="Times New Roman" w:eastAsia="Times New Roman" w:hAnsi="Times New Roman" w:cs="Times New Roman"/>
      <w:b/>
      <w:szCs w:val="20"/>
      <w:lang w:val="en-US"/>
    </w:rPr>
  </w:style>
  <w:style w:type="paragraph" w:customStyle="1" w:styleId="C-Heading6">
    <w:name w:val="C-Heading 6"/>
    <w:next w:val="Normal"/>
    <w:rsid w:val="00EE174D"/>
    <w:pPr>
      <w:keepNext/>
      <w:tabs>
        <w:tab w:val="num" w:pos="1080"/>
      </w:tabs>
      <w:spacing w:before="120" w:after="120"/>
      <w:ind w:left="1080" w:hanging="1080"/>
      <w:outlineLvl w:val="5"/>
    </w:pPr>
    <w:rPr>
      <w:rFonts w:ascii="Times New Roman" w:eastAsia="Times New Roman" w:hAnsi="Times New Roman" w:cs="Times New Roman"/>
      <w:b/>
      <w:szCs w:val="20"/>
      <w:lang w:val="en-US"/>
    </w:rPr>
  </w:style>
  <w:style w:type="character" w:styleId="nfasisintenso">
    <w:name w:val="Intense Emphasis"/>
    <w:basedOn w:val="Fuentedeprrafopredeter"/>
    <w:uiPriority w:val="21"/>
    <w:qFormat/>
    <w:rsid w:val="00EE174D"/>
    <w:rPr>
      <w:b/>
      <w:bCs/>
      <w:i/>
      <w:iCs/>
      <w:color w:val="4472C4" w:themeColor="accent1"/>
    </w:rPr>
  </w:style>
  <w:style w:type="table" w:styleId="Cuadrculaclara-nfasis2">
    <w:name w:val="Light Grid Accent 2"/>
    <w:basedOn w:val="Tablanormal"/>
    <w:uiPriority w:val="62"/>
    <w:rsid w:val="00AA3423"/>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staclara-nfasis2">
    <w:name w:val="Light List Accent 2"/>
    <w:basedOn w:val="Tablanormal"/>
    <w:uiPriority w:val="61"/>
    <w:rsid w:val="00AA3423"/>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customStyle="1" w:styleId="Tabladecuadrcula4-nfasis22">
    <w:name w:val="Tabla de cuadrícula 4 - Énfasis 22"/>
    <w:basedOn w:val="Tablanormal"/>
    <w:uiPriority w:val="49"/>
    <w:rsid w:val="00C6670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5B296A"/>
    <w:rPr>
      <w:b/>
      <w:bCs/>
      <w:i/>
      <w:iCs/>
      <w:spacing w:val="5"/>
    </w:rPr>
  </w:style>
  <w:style w:type="table" w:customStyle="1" w:styleId="Tabladecuadrcula2-nfasis21">
    <w:name w:val="Tabla de cuadrícula 2 - Énfasis 21"/>
    <w:basedOn w:val="Tablanormal"/>
    <w:uiPriority w:val="47"/>
    <w:rsid w:val="00AA29B5"/>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customStyle="1" w:styleId="Bibliografa2">
    <w:name w:val="Bibliografía2"/>
    <w:basedOn w:val="Normal"/>
    <w:rsid w:val="006F2AF2"/>
    <w:pPr>
      <w:tabs>
        <w:tab w:val="left" w:pos="500"/>
      </w:tabs>
      <w:spacing w:after="240"/>
      <w:ind w:left="504" w:hanging="504"/>
    </w:pPr>
    <w:rPr>
      <w:lang w:val="en-GB"/>
    </w:rPr>
  </w:style>
  <w:style w:type="character" w:customStyle="1" w:styleId="st1">
    <w:name w:val="st1"/>
    <w:basedOn w:val="Fuentedeprrafopredeter"/>
    <w:rsid w:val="00970320"/>
  </w:style>
  <w:style w:type="character" w:styleId="nfasissutil">
    <w:name w:val="Subtle Emphasis"/>
    <w:basedOn w:val="Fuentedeprrafopredeter"/>
    <w:uiPriority w:val="19"/>
    <w:qFormat/>
    <w:rsid w:val="00237FEE"/>
    <w:rPr>
      <w:i/>
      <w:iCs/>
      <w:color w:val="404040" w:themeColor="text1" w:themeTint="BF"/>
    </w:rPr>
  </w:style>
  <w:style w:type="paragraph" w:customStyle="1" w:styleId="p1">
    <w:name w:val="p1"/>
    <w:basedOn w:val="Normal"/>
    <w:rsid w:val="00816217"/>
    <w:rPr>
      <w:rFonts w:ascii="Helvetica" w:hAnsi="Helvetica"/>
      <w:sz w:val="18"/>
      <w:szCs w:val="18"/>
      <w:lang w:eastAsia="es-ES_tradnl"/>
    </w:rPr>
  </w:style>
  <w:style w:type="character" w:customStyle="1" w:styleId="Mencinsinresolver1">
    <w:name w:val="Mención sin resolver1"/>
    <w:basedOn w:val="Fuentedeprrafopredeter"/>
    <w:uiPriority w:val="99"/>
    <w:unhideWhenUsed/>
    <w:rsid w:val="00830C43"/>
    <w:rPr>
      <w:color w:val="808080"/>
      <w:shd w:val="clear" w:color="auto" w:fill="E6E6E6"/>
    </w:rPr>
  </w:style>
  <w:style w:type="table" w:styleId="Tablaconcuadrcula">
    <w:name w:val="Table Grid"/>
    <w:basedOn w:val="Tablanormal"/>
    <w:uiPriority w:val="99"/>
    <w:rsid w:val="00AE11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1clara1">
    <w:name w:val="Tabla de cuadrícula 1 clara1"/>
    <w:basedOn w:val="Tablanormal"/>
    <w:uiPriority w:val="46"/>
    <w:rsid w:val="000F63B5"/>
    <w:rPr>
      <w:lang w:val="es-E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Cuadrculadetablaclara1">
    <w:name w:val="Cuadrícula de tabla clara1"/>
    <w:basedOn w:val="Tablanormal"/>
    <w:uiPriority w:val="40"/>
    <w:rsid w:val="00383B4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normal11">
    <w:name w:val="Tabla normal 11"/>
    <w:basedOn w:val="Tablanormal"/>
    <w:uiPriority w:val="41"/>
    <w:rsid w:val="00383B4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concuadrcula1Claro-nfasis2">
    <w:name w:val="Grid Table 1 Light Accent 2"/>
    <w:basedOn w:val="Tablanormal"/>
    <w:uiPriority w:val="46"/>
    <w:rsid w:val="00E22241"/>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customStyle="1" w:styleId="Mencinsinresolver2">
    <w:name w:val="Mención sin resolver2"/>
    <w:basedOn w:val="Fuentedeprrafopredeter"/>
    <w:uiPriority w:val="99"/>
    <w:unhideWhenUsed/>
    <w:rsid w:val="00AB0B46"/>
    <w:rPr>
      <w:color w:val="605E5C"/>
      <w:shd w:val="clear" w:color="auto" w:fill="E1DFDD"/>
    </w:rPr>
  </w:style>
  <w:style w:type="character" w:styleId="Textoennegrita">
    <w:name w:val="Strong"/>
    <w:basedOn w:val="Fuentedeprrafopredeter"/>
    <w:uiPriority w:val="22"/>
    <w:qFormat/>
    <w:rsid w:val="00FE6F4B"/>
    <w:rPr>
      <w:b/>
      <w:bCs/>
    </w:rPr>
  </w:style>
  <w:style w:type="character" w:customStyle="1" w:styleId="mi">
    <w:name w:val="mi"/>
    <w:basedOn w:val="Fuentedeprrafopredeter"/>
    <w:rsid w:val="00FE6F4B"/>
  </w:style>
  <w:style w:type="character" w:customStyle="1" w:styleId="mn">
    <w:name w:val="mn"/>
    <w:basedOn w:val="Fuentedeprrafopredeter"/>
    <w:rsid w:val="00FE6F4B"/>
  </w:style>
  <w:style w:type="character" w:customStyle="1" w:styleId="mo">
    <w:name w:val="mo"/>
    <w:basedOn w:val="Fuentedeprrafopredeter"/>
    <w:rsid w:val="00FE6F4B"/>
  </w:style>
  <w:style w:type="character" w:customStyle="1" w:styleId="mtext">
    <w:name w:val="mtext"/>
    <w:basedOn w:val="Fuentedeprrafopredeter"/>
    <w:rsid w:val="00FE6F4B"/>
  </w:style>
  <w:style w:type="character" w:styleId="Textodelmarcadordeposicin">
    <w:name w:val="Placeholder Text"/>
    <w:basedOn w:val="Fuentedeprrafopredeter"/>
    <w:uiPriority w:val="99"/>
    <w:semiHidden/>
    <w:rsid w:val="00FE6F4B"/>
    <w:rPr>
      <w:color w:val="808080"/>
    </w:rPr>
  </w:style>
  <w:style w:type="character" w:customStyle="1" w:styleId="EndNoteBibliographyTitleCar">
    <w:name w:val="EndNote Bibliography Title Car"/>
    <w:basedOn w:val="Fuentedeprrafopredeter"/>
    <w:rsid w:val="00FE6F4B"/>
    <w:rPr>
      <w:rFonts w:ascii="Times New Roman" w:hAnsi="Times New Roman" w:cs="Times New Roman"/>
      <w:noProof/>
      <w:lang w:val="en-US"/>
    </w:rPr>
  </w:style>
  <w:style w:type="paragraph" w:styleId="Sinespaciado">
    <w:name w:val="No Spacing"/>
    <w:uiPriority w:val="1"/>
    <w:qFormat/>
    <w:rsid w:val="00FE6F4B"/>
    <w:rPr>
      <w:rFonts w:ascii="Arial" w:hAnsi="Arial" w:cs="Arial"/>
      <w:color w:val="000000"/>
      <w:lang w:val="es-ES"/>
    </w:rPr>
  </w:style>
  <w:style w:type="character" w:customStyle="1" w:styleId="NormalWebCar">
    <w:name w:val="Normal (Web) Car"/>
    <w:basedOn w:val="Fuentedeprrafopredeter"/>
    <w:link w:val="NormalWeb"/>
    <w:uiPriority w:val="99"/>
    <w:rsid w:val="00FE6F4B"/>
    <w:rPr>
      <w:rFonts w:ascii="Times New Roman" w:eastAsia="Times New Roman" w:hAnsi="Times New Roman" w:cs="Times New Roman"/>
      <w:lang w:val="en-US" w:eastAsia="es-ES"/>
    </w:rPr>
  </w:style>
  <w:style w:type="paragraph" w:customStyle="1" w:styleId="Bibliografa3">
    <w:name w:val="Bibliografía3"/>
    <w:basedOn w:val="Normal"/>
    <w:link w:val="BibliographyCar"/>
    <w:rsid w:val="00FE6F4B"/>
    <w:pPr>
      <w:shd w:val="clear" w:color="auto" w:fill="FFFFFF"/>
      <w:spacing w:after="240" w:line="480" w:lineRule="auto"/>
      <w:jc w:val="both"/>
    </w:pPr>
    <w:rPr>
      <w:rFonts w:ascii="Times" w:hAnsi="Times"/>
      <w:color w:val="000000" w:themeColor="text1"/>
    </w:rPr>
  </w:style>
  <w:style w:type="character" w:customStyle="1" w:styleId="BibliographyCar">
    <w:name w:val="Bibliography Car"/>
    <w:basedOn w:val="NormalWebCar"/>
    <w:link w:val="Bibliografa3"/>
    <w:rsid w:val="00FE6F4B"/>
    <w:rPr>
      <w:rFonts w:ascii="Times" w:eastAsia="Times New Roman" w:hAnsi="Times" w:cs="Times New Roman"/>
      <w:color w:val="000000" w:themeColor="text1"/>
      <w:shd w:val="clear" w:color="auto" w:fill="FFFFFF"/>
      <w:lang w:val="en-US" w:eastAsia="es-ES"/>
    </w:rPr>
  </w:style>
  <w:style w:type="paragraph" w:customStyle="1" w:styleId="Bibliografa4">
    <w:name w:val="Bibliografía4"/>
    <w:basedOn w:val="Normal"/>
    <w:link w:val="BibliographyCar1"/>
    <w:rsid w:val="006B107E"/>
    <w:pPr>
      <w:tabs>
        <w:tab w:val="left" w:pos="3700"/>
      </w:tabs>
      <w:spacing w:after="240" w:line="480" w:lineRule="auto"/>
      <w:jc w:val="both"/>
    </w:pPr>
    <w:rPr>
      <w:rFonts w:ascii="Arial" w:hAnsi="Arial" w:cs="Arial"/>
      <w:color w:val="0070C0"/>
    </w:rPr>
  </w:style>
  <w:style w:type="character" w:customStyle="1" w:styleId="BibliographyCar1">
    <w:name w:val="Bibliography Car1"/>
    <w:basedOn w:val="Fuentedeprrafopredeter"/>
    <w:link w:val="Bibliografa4"/>
    <w:rsid w:val="006B107E"/>
    <w:rPr>
      <w:rFonts w:ascii="Arial" w:eastAsia="Times New Roman" w:hAnsi="Arial" w:cs="Arial"/>
      <w:color w:val="0070C0"/>
      <w:lang w:val="en-US" w:eastAsia="es-ES"/>
    </w:rPr>
  </w:style>
  <w:style w:type="paragraph" w:customStyle="1" w:styleId="Bibliografa5">
    <w:name w:val="Bibliografía5"/>
    <w:basedOn w:val="Normal"/>
    <w:link w:val="BibliographyCar2"/>
    <w:rsid w:val="00C1051D"/>
    <w:pPr>
      <w:tabs>
        <w:tab w:val="left" w:pos="500"/>
        <w:tab w:val="left" w:pos="3700"/>
      </w:tabs>
      <w:spacing w:after="240"/>
      <w:ind w:left="504" w:hanging="504"/>
    </w:pPr>
    <w:rPr>
      <w:color w:val="000000" w:themeColor="text1"/>
      <w:sz w:val="20"/>
      <w:szCs w:val="20"/>
    </w:rPr>
  </w:style>
  <w:style w:type="character" w:customStyle="1" w:styleId="BibliographyCar2">
    <w:name w:val="Bibliography Car2"/>
    <w:basedOn w:val="Fuentedeprrafopredeter"/>
    <w:link w:val="Bibliografa5"/>
    <w:rsid w:val="00C1051D"/>
    <w:rPr>
      <w:rFonts w:ascii="Times New Roman" w:eastAsia="Times New Roman" w:hAnsi="Times New Roman" w:cs="Times New Roman"/>
      <w:color w:val="000000" w:themeColor="text1"/>
      <w:sz w:val="20"/>
      <w:szCs w:val="20"/>
      <w:lang w:val="en-U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84574">
      <w:bodyDiv w:val="1"/>
      <w:marLeft w:val="0"/>
      <w:marRight w:val="0"/>
      <w:marTop w:val="0"/>
      <w:marBottom w:val="0"/>
      <w:divBdr>
        <w:top w:val="none" w:sz="0" w:space="0" w:color="auto"/>
        <w:left w:val="none" w:sz="0" w:space="0" w:color="auto"/>
        <w:bottom w:val="none" w:sz="0" w:space="0" w:color="auto"/>
        <w:right w:val="none" w:sz="0" w:space="0" w:color="auto"/>
      </w:divBdr>
    </w:div>
    <w:div w:id="33387262">
      <w:bodyDiv w:val="1"/>
      <w:marLeft w:val="0"/>
      <w:marRight w:val="0"/>
      <w:marTop w:val="0"/>
      <w:marBottom w:val="0"/>
      <w:divBdr>
        <w:top w:val="none" w:sz="0" w:space="0" w:color="auto"/>
        <w:left w:val="none" w:sz="0" w:space="0" w:color="auto"/>
        <w:bottom w:val="none" w:sz="0" w:space="0" w:color="auto"/>
        <w:right w:val="none" w:sz="0" w:space="0" w:color="auto"/>
      </w:divBdr>
    </w:div>
    <w:div w:id="66536621">
      <w:bodyDiv w:val="1"/>
      <w:marLeft w:val="0"/>
      <w:marRight w:val="0"/>
      <w:marTop w:val="0"/>
      <w:marBottom w:val="0"/>
      <w:divBdr>
        <w:top w:val="none" w:sz="0" w:space="0" w:color="auto"/>
        <w:left w:val="none" w:sz="0" w:space="0" w:color="auto"/>
        <w:bottom w:val="none" w:sz="0" w:space="0" w:color="auto"/>
        <w:right w:val="none" w:sz="0" w:space="0" w:color="auto"/>
      </w:divBdr>
    </w:div>
    <w:div w:id="73283965">
      <w:bodyDiv w:val="1"/>
      <w:marLeft w:val="0"/>
      <w:marRight w:val="0"/>
      <w:marTop w:val="0"/>
      <w:marBottom w:val="0"/>
      <w:divBdr>
        <w:top w:val="none" w:sz="0" w:space="0" w:color="auto"/>
        <w:left w:val="none" w:sz="0" w:space="0" w:color="auto"/>
        <w:bottom w:val="none" w:sz="0" w:space="0" w:color="auto"/>
        <w:right w:val="none" w:sz="0" w:space="0" w:color="auto"/>
      </w:divBdr>
    </w:div>
    <w:div w:id="225337911">
      <w:bodyDiv w:val="1"/>
      <w:marLeft w:val="0"/>
      <w:marRight w:val="0"/>
      <w:marTop w:val="0"/>
      <w:marBottom w:val="0"/>
      <w:divBdr>
        <w:top w:val="none" w:sz="0" w:space="0" w:color="auto"/>
        <w:left w:val="none" w:sz="0" w:space="0" w:color="auto"/>
        <w:bottom w:val="none" w:sz="0" w:space="0" w:color="auto"/>
        <w:right w:val="none" w:sz="0" w:space="0" w:color="auto"/>
      </w:divBdr>
    </w:div>
    <w:div w:id="260338647">
      <w:bodyDiv w:val="1"/>
      <w:marLeft w:val="0"/>
      <w:marRight w:val="0"/>
      <w:marTop w:val="0"/>
      <w:marBottom w:val="0"/>
      <w:divBdr>
        <w:top w:val="none" w:sz="0" w:space="0" w:color="auto"/>
        <w:left w:val="none" w:sz="0" w:space="0" w:color="auto"/>
        <w:bottom w:val="none" w:sz="0" w:space="0" w:color="auto"/>
        <w:right w:val="none" w:sz="0" w:space="0" w:color="auto"/>
      </w:divBdr>
    </w:div>
    <w:div w:id="328564486">
      <w:bodyDiv w:val="1"/>
      <w:marLeft w:val="0"/>
      <w:marRight w:val="0"/>
      <w:marTop w:val="0"/>
      <w:marBottom w:val="0"/>
      <w:divBdr>
        <w:top w:val="none" w:sz="0" w:space="0" w:color="auto"/>
        <w:left w:val="none" w:sz="0" w:space="0" w:color="auto"/>
        <w:bottom w:val="none" w:sz="0" w:space="0" w:color="auto"/>
        <w:right w:val="none" w:sz="0" w:space="0" w:color="auto"/>
      </w:divBdr>
    </w:div>
    <w:div w:id="355622566">
      <w:bodyDiv w:val="1"/>
      <w:marLeft w:val="0"/>
      <w:marRight w:val="0"/>
      <w:marTop w:val="0"/>
      <w:marBottom w:val="0"/>
      <w:divBdr>
        <w:top w:val="none" w:sz="0" w:space="0" w:color="auto"/>
        <w:left w:val="none" w:sz="0" w:space="0" w:color="auto"/>
        <w:bottom w:val="none" w:sz="0" w:space="0" w:color="auto"/>
        <w:right w:val="none" w:sz="0" w:space="0" w:color="auto"/>
      </w:divBdr>
    </w:div>
    <w:div w:id="390925070">
      <w:bodyDiv w:val="1"/>
      <w:marLeft w:val="0"/>
      <w:marRight w:val="0"/>
      <w:marTop w:val="0"/>
      <w:marBottom w:val="0"/>
      <w:divBdr>
        <w:top w:val="none" w:sz="0" w:space="0" w:color="auto"/>
        <w:left w:val="none" w:sz="0" w:space="0" w:color="auto"/>
        <w:bottom w:val="none" w:sz="0" w:space="0" w:color="auto"/>
        <w:right w:val="none" w:sz="0" w:space="0" w:color="auto"/>
      </w:divBdr>
    </w:div>
    <w:div w:id="394353833">
      <w:bodyDiv w:val="1"/>
      <w:marLeft w:val="0"/>
      <w:marRight w:val="0"/>
      <w:marTop w:val="0"/>
      <w:marBottom w:val="0"/>
      <w:divBdr>
        <w:top w:val="none" w:sz="0" w:space="0" w:color="auto"/>
        <w:left w:val="none" w:sz="0" w:space="0" w:color="auto"/>
        <w:bottom w:val="none" w:sz="0" w:space="0" w:color="auto"/>
        <w:right w:val="none" w:sz="0" w:space="0" w:color="auto"/>
      </w:divBdr>
    </w:div>
    <w:div w:id="439179033">
      <w:bodyDiv w:val="1"/>
      <w:marLeft w:val="0"/>
      <w:marRight w:val="0"/>
      <w:marTop w:val="0"/>
      <w:marBottom w:val="0"/>
      <w:divBdr>
        <w:top w:val="none" w:sz="0" w:space="0" w:color="auto"/>
        <w:left w:val="none" w:sz="0" w:space="0" w:color="auto"/>
        <w:bottom w:val="none" w:sz="0" w:space="0" w:color="auto"/>
        <w:right w:val="none" w:sz="0" w:space="0" w:color="auto"/>
      </w:divBdr>
    </w:div>
    <w:div w:id="465199999">
      <w:bodyDiv w:val="1"/>
      <w:marLeft w:val="0"/>
      <w:marRight w:val="0"/>
      <w:marTop w:val="0"/>
      <w:marBottom w:val="0"/>
      <w:divBdr>
        <w:top w:val="none" w:sz="0" w:space="0" w:color="auto"/>
        <w:left w:val="none" w:sz="0" w:space="0" w:color="auto"/>
        <w:bottom w:val="none" w:sz="0" w:space="0" w:color="auto"/>
        <w:right w:val="none" w:sz="0" w:space="0" w:color="auto"/>
      </w:divBdr>
    </w:div>
    <w:div w:id="476841547">
      <w:bodyDiv w:val="1"/>
      <w:marLeft w:val="0"/>
      <w:marRight w:val="0"/>
      <w:marTop w:val="0"/>
      <w:marBottom w:val="0"/>
      <w:divBdr>
        <w:top w:val="none" w:sz="0" w:space="0" w:color="auto"/>
        <w:left w:val="none" w:sz="0" w:space="0" w:color="auto"/>
        <w:bottom w:val="none" w:sz="0" w:space="0" w:color="auto"/>
        <w:right w:val="none" w:sz="0" w:space="0" w:color="auto"/>
      </w:divBdr>
    </w:div>
    <w:div w:id="479423722">
      <w:bodyDiv w:val="1"/>
      <w:marLeft w:val="0"/>
      <w:marRight w:val="0"/>
      <w:marTop w:val="0"/>
      <w:marBottom w:val="0"/>
      <w:divBdr>
        <w:top w:val="none" w:sz="0" w:space="0" w:color="auto"/>
        <w:left w:val="none" w:sz="0" w:space="0" w:color="auto"/>
        <w:bottom w:val="none" w:sz="0" w:space="0" w:color="auto"/>
        <w:right w:val="none" w:sz="0" w:space="0" w:color="auto"/>
      </w:divBdr>
    </w:div>
    <w:div w:id="523640274">
      <w:bodyDiv w:val="1"/>
      <w:marLeft w:val="0"/>
      <w:marRight w:val="0"/>
      <w:marTop w:val="0"/>
      <w:marBottom w:val="0"/>
      <w:divBdr>
        <w:top w:val="none" w:sz="0" w:space="0" w:color="auto"/>
        <w:left w:val="none" w:sz="0" w:space="0" w:color="auto"/>
        <w:bottom w:val="none" w:sz="0" w:space="0" w:color="auto"/>
        <w:right w:val="none" w:sz="0" w:space="0" w:color="auto"/>
      </w:divBdr>
    </w:div>
    <w:div w:id="526061285">
      <w:bodyDiv w:val="1"/>
      <w:marLeft w:val="0"/>
      <w:marRight w:val="0"/>
      <w:marTop w:val="0"/>
      <w:marBottom w:val="0"/>
      <w:divBdr>
        <w:top w:val="none" w:sz="0" w:space="0" w:color="auto"/>
        <w:left w:val="none" w:sz="0" w:space="0" w:color="auto"/>
        <w:bottom w:val="none" w:sz="0" w:space="0" w:color="auto"/>
        <w:right w:val="none" w:sz="0" w:space="0" w:color="auto"/>
      </w:divBdr>
    </w:div>
    <w:div w:id="539317631">
      <w:bodyDiv w:val="1"/>
      <w:marLeft w:val="0"/>
      <w:marRight w:val="0"/>
      <w:marTop w:val="0"/>
      <w:marBottom w:val="0"/>
      <w:divBdr>
        <w:top w:val="none" w:sz="0" w:space="0" w:color="auto"/>
        <w:left w:val="none" w:sz="0" w:space="0" w:color="auto"/>
        <w:bottom w:val="none" w:sz="0" w:space="0" w:color="auto"/>
        <w:right w:val="none" w:sz="0" w:space="0" w:color="auto"/>
      </w:divBdr>
    </w:div>
    <w:div w:id="555120172">
      <w:bodyDiv w:val="1"/>
      <w:marLeft w:val="0"/>
      <w:marRight w:val="0"/>
      <w:marTop w:val="0"/>
      <w:marBottom w:val="0"/>
      <w:divBdr>
        <w:top w:val="none" w:sz="0" w:space="0" w:color="auto"/>
        <w:left w:val="none" w:sz="0" w:space="0" w:color="auto"/>
        <w:bottom w:val="none" w:sz="0" w:space="0" w:color="auto"/>
        <w:right w:val="none" w:sz="0" w:space="0" w:color="auto"/>
      </w:divBdr>
    </w:div>
    <w:div w:id="571937555">
      <w:bodyDiv w:val="1"/>
      <w:marLeft w:val="0"/>
      <w:marRight w:val="0"/>
      <w:marTop w:val="0"/>
      <w:marBottom w:val="0"/>
      <w:divBdr>
        <w:top w:val="none" w:sz="0" w:space="0" w:color="auto"/>
        <w:left w:val="none" w:sz="0" w:space="0" w:color="auto"/>
        <w:bottom w:val="none" w:sz="0" w:space="0" w:color="auto"/>
        <w:right w:val="none" w:sz="0" w:space="0" w:color="auto"/>
      </w:divBdr>
    </w:div>
    <w:div w:id="584844104">
      <w:bodyDiv w:val="1"/>
      <w:marLeft w:val="0"/>
      <w:marRight w:val="0"/>
      <w:marTop w:val="0"/>
      <w:marBottom w:val="0"/>
      <w:divBdr>
        <w:top w:val="none" w:sz="0" w:space="0" w:color="auto"/>
        <w:left w:val="none" w:sz="0" w:space="0" w:color="auto"/>
        <w:bottom w:val="none" w:sz="0" w:space="0" w:color="auto"/>
        <w:right w:val="none" w:sz="0" w:space="0" w:color="auto"/>
      </w:divBdr>
    </w:div>
    <w:div w:id="608781786">
      <w:bodyDiv w:val="1"/>
      <w:marLeft w:val="0"/>
      <w:marRight w:val="0"/>
      <w:marTop w:val="0"/>
      <w:marBottom w:val="0"/>
      <w:divBdr>
        <w:top w:val="none" w:sz="0" w:space="0" w:color="auto"/>
        <w:left w:val="none" w:sz="0" w:space="0" w:color="auto"/>
        <w:bottom w:val="none" w:sz="0" w:space="0" w:color="auto"/>
        <w:right w:val="none" w:sz="0" w:space="0" w:color="auto"/>
      </w:divBdr>
    </w:div>
    <w:div w:id="649866636">
      <w:bodyDiv w:val="1"/>
      <w:marLeft w:val="0"/>
      <w:marRight w:val="0"/>
      <w:marTop w:val="0"/>
      <w:marBottom w:val="0"/>
      <w:divBdr>
        <w:top w:val="none" w:sz="0" w:space="0" w:color="auto"/>
        <w:left w:val="none" w:sz="0" w:space="0" w:color="auto"/>
        <w:bottom w:val="none" w:sz="0" w:space="0" w:color="auto"/>
        <w:right w:val="none" w:sz="0" w:space="0" w:color="auto"/>
      </w:divBdr>
    </w:div>
    <w:div w:id="655038041">
      <w:bodyDiv w:val="1"/>
      <w:marLeft w:val="0"/>
      <w:marRight w:val="0"/>
      <w:marTop w:val="0"/>
      <w:marBottom w:val="0"/>
      <w:divBdr>
        <w:top w:val="none" w:sz="0" w:space="0" w:color="auto"/>
        <w:left w:val="none" w:sz="0" w:space="0" w:color="auto"/>
        <w:bottom w:val="none" w:sz="0" w:space="0" w:color="auto"/>
        <w:right w:val="none" w:sz="0" w:space="0" w:color="auto"/>
      </w:divBdr>
    </w:div>
    <w:div w:id="715740544">
      <w:bodyDiv w:val="1"/>
      <w:marLeft w:val="0"/>
      <w:marRight w:val="0"/>
      <w:marTop w:val="0"/>
      <w:marBottom w:val="0"/>
      <w:divBdr>
        <w:top w:val="none" w:sz="0" w:space="0" w:color="auto"/>
        <w:left w:val="none" w:sz="0" w:space="0" w:color="auto"/>
        <w:bottom w:val="none" w:sz="0" w:space="0" w:color="auto"/>
        <w:right w:val="none" w:sz="0" w:space="0" w:color="auto"/>
      </w:divBdr>
    </w:div>
    <w:div w:id="717585816">
      <w:bodyDiv w:val="1"/>
      <w:marLeft w:val="0"/>
      <w:marRight w:val="0"/>
      <w:marTop w:val="0"/>
      <w:marBottom w:val="0"/>
      <w:divBdr>
        <w:top w:val="none" w:sz="0" w:space="0" w:color="auto"/>
        <w:left w:val="none" w:sz="0" w:space="0" w:color="auto"/>
        <w:bottom w:val="none" w:sz="0" w:space="0" w:color="auto"/>
        <w:right w:val="none" w:sz="0" w:space="0" w:color="auto"/>
      </w:divBdr>
    </w:div>
    <w:div w:id="722556849">
      <w:bodyDiv w:val="1"/>
      <w:marLeft w:val="0"/>
      <w:marRight w:val="0"/>
      <w:marTop w:val="0"/>
      <w:marBottom w:val="0"/>
      <w:divBdr>
        <w:top w:val="none" w:sz="0" w:space="0" w:color="auto"/>
        <w:left w:val="none" w:sz="0" w:space="0" w:color="auto"/>
        <w:bottom w:val="none" w:sz="0" w:space="0" w:color="auto"/>
        <w:right w:val="none" w:sz="0" w:space="0" w:color="auto"/>
      </w:divBdr>
    </w:div>
    <w:div w:id="726997154">
      <w:bodyDiv w:val="1"/>
      <w:marLeft w:val="0"/>
      <w:marRight w:val="0"/>
      <w:marTop w:val="0"/>
      <w:marBottom w:val="0"/>
      <w:divBdr>
        <w:top w:val="none" w:sz="0" w:space="0" w:color="auto"/>
        <w:left w:val="none" w:sz="0" w:space="0" w:color="auto"/>
        <w:bottom w:val="none" w:sz="0" w:space="0" w:color="auto"/>
        <w:right w:val="none" w:sz="0" w:space="0" w:color="auto"/>
      </w:divBdr>
    </w:div>
    <w:div w:id="789979092">
      <w:bodyDiv w:val="1"/>
      <w:marLeft w:val="0"/>
      <w:marRight w:val="0"/>
      <w:marTop w:val="0"/>
      <w:marBottom w:val="0"/>
      <w:divBdr>
        <w:top w:val="none" w:sz="0" w:space="0" w:color="auto"/>
        <w:left w:val="none" w:sz="0" w:space="0" w:color="auto"/>
        <w:bottom w:val="none" w:sz="0" w:space="0" w:color="auto"/>
        <w:right w:val="none" w:sz="0" w:space="0" w:color="auto"/>
      </w:divBdr>
    </w:div>
    <w:div w:id="867256265">
      <w:bodyDiv w:val="1"/>
      <w:marLeft w:val="0"/>
      <w:marRight w:val="0"/>
      <w:marTop w:val="0"/>
      <w:marBottom w:val="0"/>
      <w:divBdr>
        <w:top w:val="none" w:sz="0" w:space="0" w:color="auto"/>
        <w:left w:val="none" w:sz="0" w:space="0" w:color="auto"/>
        <w:bottom w:val="none" w:sz="0" w:space="0" w:color="auto"/>
        <w:right w:val="none" w:sz="0" w:space="0" w:color="auto"/>
      </w:divBdr>
    </w:div>
    <w:div w:id="902758421">
      <w:bodyDiv w:val="1"/>
      <w:marLeft w:val="0"/>
      <w:marRight w:val="0"/>
      <w:marTop w:val="0"/>
      <w:marBottom w:val="0"/>
      <w:divBdr>
        <w:top w:val="none" w:sz="0" w:space="0" w:color="auto"/>
        <w:left w:val="none" w:sz="0" w:space="0" w:color="auto"/>
        <w:bottom w:val="none" w:sz="0" w:space="0" w:color="auto"/>
        <w:right w:val="none" w:sz="0" w:space="0" w:color="auto"/>
      </w:divBdr>
    </w:div>
    <w:div w:id="910579651">
      <w:bodyDiv w:val="1"/>
      <w:marLeft w:val="0"/>
      <w:marRight w:val="0"/>
      <w:marTop w:val="0"/>
      <w:marBottom w:val="0"/>
      <w:divBdr>
        <w:top w:val="none" w:sz="0" w:space="0" w:color="auto"/>
        <w:left w:val="none" w:sz="0" w:space="0" w:color="auto"/>
        <w:bottom w:val="none" w:sz="0" w:space="0" w:color="auto"/>
        <w:right w:val="none" w:sz="0" w:space="0" w:color="auto"/>
      </w:divBdr>
    </w:div>
    <w:div w:id="1018315086">
      <w:bodyDiv w:val="1"/>
      <w:marLeft w:val="0"/>
      <w:marRight w:val="0"/>
      <w:marTop w:val="0"/>
      <w:marBottom w:val="0"/>
      <w:divBdr>
        <w:top w:val="none" w:sz="0" w:space="0" w:color="auto"/>
        <w:left w:val="none" w:sz="0" w:space="0" w:color="auto"/>
        <w:bottom w:val="none" w:sz="0" w:space="0" w:color="auto"/>
        <w:right w:val="none" w:sz="0" w:space="0" w:color="auto"/>
      </w:divBdr>
    </w:div>
    <w:div w:id="1030031678">
      <w:bodyDiv w:val="1"/>
      <w:marLeft w:val="0"/>
      <w:marRight w:val="0"/>
      <w:marTop w:val="0"/>
      <w:marBottom w:val="0"/>
      <w:divBdr>
        <w:top w:val="none" w:sz="0" w:space="0" w:color="auto"/>
        <w:left w:val="none" w:sz="0" w:space="0" w:color="auto"/>
        <w:bottom w:val="none" w:sz="0" w:space="0" w:color="auto"/>
        <w:right w:val="none" w:sz="0" w:space="0" w:color="auto"/>
      </w:divBdr>
    </w:div>
    <w:div w:id="1053651947">
      <w:bodyDiv w:val="1"/>
      <w:marLeft w:val="0"/>
      <w:marRight w:val="0"/>
      <w:marTop w:val="0"/>
      <w:marBottom w:val="0"/>
      <w:divBdr>
        <w:top w:val="none" w:sz="0" w:space="0" w:color="auto"/>
        <w:left w:val="none" w:sz="0" w:space="0" w:color="auto"/>
        <w:bottom w:val="none" w:sz="0" w:space="0" w:color="auto"/>
        <w:right w:val="none" w:sz="0" w:space="0" w:color="auto"/>
      </w:divBdr>
    </w:div>
    <w:div w:id="1099915054">
      <w:bodyDiv w:val="1"/>
      <w:marLeft w:val="0"/>
      <w:marRight w:val="0"/>
      <w:marTop w:val="0"/>
      <w:marBottom w:val="0"/>
      <w:divBdr>
        <w:top w:val="none" w:sz="0" w:space="0" w:color="auto"/>
        <w:left w:val="none" w:sz="0" w:space="0" w:color="auto"/>
        <w:bottom w:val="none" w:sz="0" w:space="0" w:color="auto"/>
        <w:right w:val="none" w:sz="0" w:space="0" w:color="auto"/>
      </w:divBdr>
    </w:div>
    <w:div w:id="1182429365">
      <w:bodyDiv w:val="1"/>
      <w:marLeft w:val="0"/>
      <w:marRight w:val="0"/>
      <w:marTop w:val="0"/>
      <w:marBottom w:val="0"/>
      <w:divBdr>
        <w:top w:val="none" w:sz="0" w:space="0" w:color="auto"/>
        <w:left w:val="none" w:sz="0" w:space="0" w:color="auto"/>
        <w:bottom w:val="none" w:sz="0" w:space="0" w:color="auto"/>
        <w:right w:val="none" w:sz="0" w:space="0" w:color="auto"/>
      </w:divBdr>
    </w:div>
    <w:div w:id="1250850762">
      <w:bodyDiv w:val="1"/>
      <w:marLeft w:val="0"/>
      <w:marRight w:val="0"/>
      <w:marTop w:val="0"/>
      <w:marBottom w:val="0"/>
      <w:divBdr>
        <w:top w:val="none" w:sz="0" w:space="0" w:color="auto"/>
        <w:left w:val="none" w:sz="0" w:space="0" w:color="auto"/>
        <w:bottom w:val="none" w:sz="0" w:space="0" w:color="auto"/>
        <w:right w:val="none" w:sz="0" w:space="0" w:color="auto"/>
      </w:divBdr>
    </w:div>
    <w:div w:id="1500802689">
      <w:bodyDiv w:val="1"/>
      <w:marLeft w:val="0"/>
      <w:marRight w:val="0"/>
      <w:marTop w:val="0"/>
      <w:marBottom w:val="0"/>
      <w:divBdr>
        <w:top w:val="none" w:sz="0" w:space="0" w:color="auto"/>
        <w:left w:val="none" w:sz="0" w:space="0" w:color="auto"/>
        <w:bottom w:val="none" w:sz="0" w:space="0" w:color="auto"/>
        <w:right w:val="none" w:sz="0" w:space="0" w:color="auto"/>
      </w:divBdr>
    </w:div>
    <w:div w:id="1500849058">
      <w:bodyDiv w:val="1"/>
      <w:marLeft w:val="0"/>
      <w:marRight w:val="0"/>
      <w:marTop w:val="0"/>
      <w:marBottom w:val="0"/>
      <w:divBdr>
        <w:top w:val="none" w:sz="0" w:space="0" w:color="auto"/>
        <w:left w:val="none" w:sz="0" w:space="0" w:color="auto"/>
        <w:bottom w:val="none" w:sz="0" w:space="0" w:color="auto"/>
        <w:right w:val="none" w:sz="0" w:space="0" w:color="auto"/>
      </w:divBdr>
    </w:div>
    <w:div w:id="1526089736">
      <w:bodyDiv w:val="1"/>
      <w:marLeft w:val="0"/>
      <w:marRight w:val="0"/>
      <w:marTop w:val="0"/>
      <w:marBottom w:val="0"/>
      <w:divBdr>
        <w:top w:val="none" w:sz="0" w:space="0" w:color="auto"/>
        <w:left w:val="none" w:sz="0" w:space="0" w:color="auto"/>
        <w:bottom w:val="none" w:sz="0" w:space="0" w:color="auto"/>
        <w:right w:val="none" w:sz="0" w:space="0" w:color="auto"/>
      </w:divBdr>
    </w:div>
    <w:div w:id="1571885001">
      <w:bodyDiv w:val="1"/>
      <w:marLeft w:val="0"/>
      <w:marRight w:val="0"/>
      <w:marTop w:val="0"/>
      <w:marBottom w:val="0"/>
      <w:divBdr>
        <w:top w:val="none" w:sz="0" w:space="0" w:color="auto"/>
        <w:left w:val="none" w:sz="0" w:space="0" w:color="auto"/>
        <w:bottom w:val="none" w:sz="0" w:space="0" w:color="auto"/>
        <w:right w:val="none" w:sz="0" w:space="0" w:color="auto"/>
      </w:divBdr>
    </w:div>
    <w:div w:id="1578900959">
      <w:bodyDiv w:val="1"/>
      <w:marLeft w:val="0"/>
      <w:marRight w:val="0"/>
      <w:marTop w:val="0"/>
      <w:marBottom w:val="0"/>
      <w:divBdr>
        <w:top w:val="none" w:sz="0" w:space="0" w:color="auto"/>
        <w:left w:val="none" w:sz="0" w:space="0" w:color="auto"/>
        <w:bottom w:val="none" w:sz="0" w:space="0" w:color="auto"/>
        <w:right w:val="none" w:sz="0" w:space="0" w:color="auto"/>
      </w:divBdr>
    </w:div>
    <w:div w:id="1599824127">
      <w:bodyDiv w:val="1"/>
      <w:marLeft w:val="0"/>
      <w:marRight w:val="0"/>
      <w:marTop w:val="0"/>
      <w:marBottom w:val="0"/>
      <w:divBdr>
        <w:top w:val="none" w:sz="0" w:space="0" w:color="auto"/>
        <w:left w:val="none" w:sz="0" w:space="0" w:color="auto"/>
        <w:bottom w:val="none" w:sz="0" w:space="0" w:color="auto"/>
        <w:right w:val="none" w:sz="0" w:space="0" w:color="auto"/>
      </w:divBdr>
    </w:div>
    <w:div w:id="1610309705">
      <w:bodyDiv w:val="1"/>
      <w:marLeft w:val="0"/>
      <w:marRight w:val="0"/>
      <w:marTop w:val="0"/>
      <w:marBottom w:val="0"/>
      <w:divBdr>
        <w:top w:val="none" w:sz="0" w:space="0" w:color="auto"/>
        <w:left w:val="none" w:sz="0" w:space="0" w:color="auto"/>
        <w:bottom w:val="none" w:sz="0" w:space="0" w:color="auto"/>
        <w:right w:val="none" w:sz="0" w:space="0" w:color="auto"/>
      </w:divBdr>
    </w:div>
    <w:div w:id="1622222585">
      <w:bodyDiv w:val="1"/>
      <w:marLeft w:val="0"/>
      <w:marRight w:val="0"/>
      <w:marTop w:val="0"/>
      <w:marBottom w:val="0"/>
      <w:divBdr>
        <w:top w:val="none" w:sz="0" w:space="0" w:color="auto"/>
        <w:left w:val="none" w:sz="0" w:space="0" w:color="auto"/>
        <w:bottom w:val="none" w:sz="0" w:space="0" w:color="auto"/>
        <w:right w:val="none" w:sz="0" w:space="0" w:color="auto"/>
      </w:divBdr>
    </w:div>
    <w:div w:id="1695761227">
      <w:bodyDiv w:val="1"/>
      <w:marLeft w:val="0"/>
      <w:marRight w:val="0"/>
      <w:marTop w:val="0"/>
      <w:marBottom w:val="0"/>
      <w:divBdr>
        <w:top w:val="none" w:sz="0" w:space="0" w:color="auto"/>
        <w:left w:val="none" w:sz="0" w:space="0" w:color="auto"/>
        <w:bottom w:val="none" w:sz="0" w:space="0" w:color="auto"/>
        <w:right w:val="none" w:sz="0" w:space="0" w:color="auto"/>
      </w:divBdr>
    </w:div>
    <w:div w:id="1699115794">
      <w:bodyDiv w:val="1"/>
      <w:marLeft w:val="0"/>
      <w:marRight w:val="0"/>
      <w:marTop w:val="0"/>
      <w:marBottom w:val="0"/>
      <w:divBdr>
        <w:top w:val="none" w:sz="0" w:space="0" w:color="auto"/>
        <w:left w:val="none" w:sz="0" w:space="0" w:color="auto"/>
        <w:bottom w:val="none" w:sz="0" w:space="0" w:color="auto"/>
        <w:right w:val="none" w:sz="0" w:space="0" w:color="auto"/>
      </w:divBdr>
    </w:div>
    <w:div w:id="1703246388">
      <w:bodyDiv w:val="1"/>
      <w:marLeft w:val="0"/>
      <w:marRight w:val="0"/>
      <w:marTop w:val="0"/>
      <w:marBottom w:val="0"/>
      <w:divBdr>
        <w:top w:val="none" w:sz="0" w:space="0" w:color="auto"/>
        <w:left w:val="none" w:sz="0" w:space="0" w:color="auto"/>
        <w:bottom w:val="none" w:sz="0" w:space="0" w:color="auto"/>
        <w:right w:val="none" w:sz="0" w:space="0" w:color="auto"/>
      </w:divBdr>
    </w:div>
    <w:div w:id="1912736935">
      <w:bodyDiv w:val="1"/>
      <w:marLeft w:val="0"/>
      <w:marRight w:val="0"/>
      <w:marTop w:val="0"/>
      <w:marBottom w:val="0"/>
      <w:divBdr>
        <w:top w:val="none" w:sz="0" w:space="0" w:color="auto"/>
        <w:left w:val="none" w:sz="0" w:space="0" w:color="auto"/>
        <w:bottom w:val="none" w:sz="0" w:space="0" w:color="auto"/>
        <w:right w:val="none" w:sz="0" w:space="0" w:color="auto"/>
      </w:divBdr>
    </w:div>
    <w:div w:id="1944654375">
      <w:bodyDiv w:val="1"/>
      <w:marLeft w:val="0"/>
      <w:marRight w:val="0"/>
      <w:marTop w:val="0"/>
      <w:marBottom w:val="0"/>
      <w:divBdr>
        <w:top w:val="none" w:sz="0" w:space="0" w:color="auto"/>
        <w:left w:val="none" w:sz="0" w:space="0" w:color="auto"/>
        <w:bottom w:val="none" w:sz="0" w:space="0" w:color="auto"/>
        <w:right w:val="none" w:sz="0" w:space="0" w:color="auto"/>
      </w:divBdr>
    </w:div>
    <w:div w:id="1985886373">
      <w:bodyDiv w:val="1"/>
      <w:marLeft w:val="0"/>
      <w:marRight w:val="0"/>
      <w:marTop w:val="0"/>
      <w:marBottom w:val="0"/>
      <w:divBdr>
        <w:top w:val="none" w:sz="0" w:space="0" w:color="auto"/>
        <w:left w:val="none" w:sz="0" w:space="0" w:color="auto"/>
        <w:bottom w:val="none" w:sz="0" w:space="0" w:color="auto"/>
        <w:right w:val="none" w:sz="0" w:space="0" w:color="auto"/>
      </w:divBdr>
    </w:div>
    <w:div w:id="1999263368">
      <w:bodyDiv w:val="1"/>
      <w:marLeft w:val="0"/>
      <w:marRight w:val="0"/>
      <w:marTop w:val="0"/>
      <w:marBottom w:val="0"/>
      <w:divBdr>
        <w:top w:val="none" w:sz="0" w:space="0" w:color="auto"/>
        <w:left w:val="none" w:sz="0" w:space="0" w:color="auto"/>
        <w:bottom w:val="none" w:sz="0" w:space="0" w:color="auto"/>
        <w:right w:val="none" w:sz="0" w:space="0" w:color="auto"/>
      </w:divBdr>
      <w:divsChild>
        <w:div w:id="949750144">
          <w:marLeft w:val="0"/>
          <w:marRight w:val="0"/>
          <w:marTop w:val="0"/>
          <w:marBottom w:val="0"/>
          <w:divBdr>
            <w:top w:val="none" w:sz="0" w:space="0" w:color="auto"/>
            <w:left w:val="none" w:sz="0" w:space="0" w:color="auto"/>
            <w:bottom w:val="none" w:sz="0" w:space="0" w:color="auto"/>
            <w:right w:val="none" w:sz="0" w:space="0" w:color="auto"/>
          </w:divBdr>
        </w:div>
      </w:divsChild>
    </w:div>
    <w:div w:id="2085488655">
      <w:bodyDiv w:val="1"/>
      <w:marLeft w:val="0"/>
      <w:marRight w:val="0"/>
      <w:marTop w:val="0"/>
      <w:marBottom w:val="0"/>
      <w:divBdr>
        <w:top w:val="none" w:sz="0" w:space="0" w:color="auto"/>
        <w:left w:val="none" w:sz="0" w:space="0" w:color="auto"/>
        <w:bottom w:val="none" w:sz="0" w:space="0" w:color="auto"/>
        <w:right w:val="none" w:sz="0" w:space="0" w:color="auto"/>
      </w:divBdr>
    </w:div>
    <w:div w:id="2086956216">
      <w:bodyDiv w:val="1"/>
      <w:marLeft w:val="0"/>
      <w:marRight w:val="0"/>
      <w:marTop w:val="0"/>
      <w:marBottom w:val="0"/>
      <w:divBdr>
        <w:top w:val="none" w:sz="0" w:space="0" w:color="auto"/>
        <w:left w:val="none" w:sz="0" w:space="0" w:color="auto"/>
        <w:bottom w:val="none" w:sz="0" w:space="0" w:color="auto"/>
        <w:right w:val="none" w:sz="0" w:space="0" w:color="auto"/>
      </w:divBdr>
    </w:div>
    <w:div w:id="21067306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7A36534-247B-459D-BB55-BDBC19AD3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7946</Words>
  <Characters>43706</Characters>
  <Application>Microsoft Office Word</Application>
  <DocSecurity>0</DocSecurity>
  <Lines>364</Lines>
  <Paragraphs>103</Paragraphs>
  <ScaleCrop>false</ScaleCrop>
  <HeadingPairs>
    <vt:vector size="2" baseType="variant">
      <vt:variant>
        <vt:lpstr>Título</vt:lpstr>
      </vt:variant>
      <vt:variant>
        <vt:i4>1</vt:i4>
      </vt:variant>
    </vt:vector>
  </HeadingPairs>
  <TitlesOfParts>
    <vt:vector size="1" baseType="lpstr">
      <vt:lpstr/>
    </vt:vector>
  </TitlesOfParts>
  <Company>Pfizer Inc</Company>
  <LinksUpToDate>false</LinksUpToDate>
  <CharactersWithSpaces>51549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Bacario Uno</dc:creator>
  <cp:keywords/>
  <dc:description/>
  <cp:lastModifiedBy>Miguel Sampayo</cp:lastModifiedBy>
  <cp:revision>5</cp:revision>
  <cp:lastPrinted>2018-07-30T08:54:00Z</cp:lastPrinted>
  <dcterms:created xsi:type="dcterms:W3CDTF">2019-05-24T10:16:00Z</dcterms:created>
  <dcterms:modified xsi:type="dcterms:W3CDTF">2019-07-09T15:25:00Z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id="XdRhy8Ea"/&gt;&lt;style id="http://www.zotero.org/styles/sage-vancouver" hasBibliography="1" bibliographyStyleHasBeenSet="1"/&gt;&lt;prefs&gt;&lt;pref name="fieldType" value="Field"/&gt;&lt;pref name="storeReferences" v</vt:lpwstr>
  </property>
  <property fmtid="{D5CDD505-2E9C-101B-9397-08002B2CF9AE}" pid="3" name="ZOTERO_PREF_2">
    <vt:lpwstr>alue="true"/&gt;&lt;pref name="delayCitationUpdates" value="true"/&gt;&lt;pref name="dontAskDelayCitationUpdates" value="true"/&gt;&lt;/prefs&gt;&lt;/data&gt;</vt:lpwstr>
  </property>
</Properties>
</file>